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Overlap w:val="never"/>
        <w:tblW w:w="15877" w:type="dxa"/>
        <w:tblInd w:w="-147" w:type="dxa"/>
        <w:tblLayout w:type="fixed"/>
        <w:tblCellMar>
          <w:left w:w="10" w:type="dxa"/>
          <w:right w:w="10" w:type="dxa"/>
        </w:tblCellMar>
        <w:tblLook w:val="04A0" w:firstRow="1" w:lastRow="0" w:firstColumn="1" w:lastColumn="0" w:noHBand="0" w:noVBand="1"/>
      </w:tblPr>
      <w:tblGrid>
        <w:gridCol w:w="709"/>
        <w:gridCol w:w="1701"/>
        <w:gridCol w:w="5812"/>
        <w:gridCol w:w="2835"/>
        <w:gridCol w:w="4820"/>
      </w:tblGrid>
      <w:tr w:rsidR="00A1261B" w:rsidRPr="009521C9" w14:paraId="567D9138" w14:textId="77777777" w:rsidTr="00A1261B">
        <w:trPr>
          <w:trHeight w:val="20"/>
        </w:trPr>
        <w:tc>
          <w:tcPr>
            <w:tcW w:w="15877" w:type="dxa"/>
            <w:gridSpan w:val="5"/>
            <w:tcBorders>
              <w:top w:val="single" w:sz="4" w:space="0" w:color="auto"/>
              <w:left w:val="single" w:sz="4" w:space="0" w:color="auto"/>
              <w:right w:val="single" w:sz="4" w:space="0" w:color="auto"/>
            </w:tcBorders>
            <w:shd w:val="clear" w:color="auto" w:fill="FFFFFF"/>
            <w:vAlign w:val="center"/>
          </w:tcPr>
          <w:p w14:paraId="63A123A8" w14:textId="69BB1D5B" w:rsidR="00A1261B" w:rsidRPr="00F9021D" w:rsidRDefault="00A1261B" w:rsidP="00E54DC7">
            <w:pPr>
              <w:pStyle w:val="Inne0"/>
              <w:shd w:val="clear" w:color="auto" w:fill="auto"/>
              <w:spacing w:before="120" w:after="120"/>
              <w:rPr>
                <w:rFonts w:ascii="Lato" w:hAnsi="Lato" w:cs="Arial"/>
                <w:sz w:val="18"/>
                <w:szCs w:val="18"/>
              </w:rPr>
            </w:pPr>
            <w:r w:rsidRPr="009521C9">
              <w:rPr>
                <w:rFonts w:ascii="Lato" w:eastAsia="Arial" w:hAnsi="Lato" w:cs="Arial"/>
                <w:sz w:val="18"/>
                <w:szCs w:val="18"/>
              </w:rPr>
              <w:t>Nazwa dokumentu:</w:t>
            </w:r>
            <w:r w:rsidR="00F9021D">
              <w:rPr>
                <w:rFonts w:ascii="Lato" w:hAnsi="Lato" w:cs="Arial"/>
                <w:sz w:val="18"/>
                <w:szCs w:val="18"/>
              </w:rPr>
              <w:t xml:space="preserve"> </w:t>
            </w:r>
            <w:r w:rsidRPr="009521C9">
              <w:rPr>
                <w:rFonts w:ascii="Lato" w:eastAsia="Arial" w:hAnsi="Lato" w:cs="Arial"/>
                <w:b/>
                <w:bCs/>
                <w:i/>
                <w:iCs/>
                <w:sz w:val="18"/>
                <w:szCs w:val="18"/>
              </w:rPr>
              <w:t>Projekt ustawy o zmianie ustawy – Prawo geodezyjne i kartograficzne oraz ustawy o infrastrukturze informacji przestrzennej (UD60)</w:t>
            </w:r>
          </w:p>
          <w:p w14:paraId="69615818" w14:textId="4A6222AB" w:rsidR="00A1261B" w:rsidRPr="009521C9" w:rsidRDefault="00EA4C87" w:rsidP="00E54DC7">
            <w:pPr>
              <w:pStyle w:val="Inne0"/>
              <w:shd w:val="clear" w:color="auto" w:fill="auto"/>
              <w:spacing w:before="120" w:after="120"/>
              <w:ind w:left="131" w:right="138"/>
              <w:rPr>
                <w:rFonts w:ascii="Lato" w:eastAsia="Arial" w:hAnsi="Lato" w:cs="Arial"/>
                <w:b/>
                <w:bCs/>
                <w:sz w:val="18"/>
                <w:szCs w:val="18"/>
              </w:rPr>
            </w:pPr>
            <w:r w:rsidRPr="009521C9">
              <w:rPr>
                <w:rFonts w:ascii="Lato" w:eastAsia="Arial" w:hAnsi="Lato" w:cs="Arial"/>
                <w:b/>
                <w:bCs/>
                <w:i/>
                <w:iCs/>
                <w:sz w:val="18"/>
                <w:szCs w:val="18"/>
              </w:rPr>
              <w:t>Prace Komitetu do spraw Cyfryzacji</w:t>
            </w:r>
          </w:p>
        </w:tc>
      </w:tr>
      <w:tr w:rsidR="00A1261B" w:rsidRPr="009521C9" w14:paraId="151E1D00" w14:textId="1C149F7B" w:rsidTr="003005A0">
        <w:trPr>
          <w:trHeight w:val="20"/>
        </w:trPr>
        <w:tc>
          <w:tcPr>
            <w:tcW w:w="709" w:type="dxa"/>
            <w:tcBorders>
              <w:top w:val="single" w:sz="4" w:space="0" w:color="auto"/>
              <w:left w:val="single" w:sz="4" w:space="0" w:color="auto"/>
            </w:tcBorders>
            <w:shd w:val="clear" w:color="auto" w:fill="FFFFFF"/>
            <w:vAlign w:val="center"/>
          </w:tcPr>
          <w:p w14:paraId="080C8CDF" w14:textId="77777777" w:rsidR="00A1261B" w:rsidRPr="009521C9" w:rsidRDefault="00A1261B" w:rsidP="00E54DC7">
            <w:pPr>
              <w:pStyle w:val="Inne0"/>
              <w:shd w:val="clear" w:color="auto" w:fill="auto"/>
              <w:spacing w:before="120" w:after="120"/>
              <w:jc w:val="center"/>
              <w:rPr>
                <w:rFonts w:ascii="Lato" w:hAnsi="Lato" w:cs="Arial"/>
                <w:sz w:val="18"/>
                <w:szCs w:val="18"/>
              </w:rPr>
            </w:pPr>
            <w:r w:rsidRPr="009521C9">
              <w:rPr>
                <w:rFonts w:ascii="Lato" w:eastAsia="Arial" w:hAnsi="Lato" w:cs="Arial"/>
                <w:b/>
                <w:bCs/>
                <w:sz w:val="18"/>
                <w:szCs w:val="18"/>
              </w:rPr>
              <w:t>Lp.</w:t>
            </w:r>
          </w:p>
        </w:tc>
        <w:tc>
          <w:tcPr>
            <w:tcW w:w="1701" w:type="dxa"/>
            <w:tcBorders>
              <w:top w:val="single" w:sz="4" w:space="0" w:color="auto"/>
              <w:left w:val="single" w:sz="4" w:space="0" w:color="auto"/>
            </w:tcBorders>
            <w:shd w:val="clear" w:color="auto" w:fill="FFFFFF"/>
            <w:vAlign w:val="center"/>
          </w:tcPr>
          <w:p w14:paraId="6484EAE7" w14:textId="102F1E49" w:rsidR="00A1261B" w:rsidRPr="009521C9" w:rsidRDefault="00A1261B" w:rsidP="00E54DC7">
            <w:pPr>
              <w:pStyle w:val="Inne0"/>
              <w:shd w:val="clear" w:color="auto" w:fill="auto"/>
              <w:spacing w:before="120" w:after="120"/>
              <w:jc w:val="center"/>
              <w:rPr>
                <w:rFonts w:ascii="Lato" w:hAnsi="Lato" w:cs="Arial"/>
                <w:sz w:val="18"/>
                <w:szCs w:val="18"/>
              </w:rPr>
            </w:pPr>
            <w:r w:rsidRPr="009521C9">
              <w:rPr>
                <w:rFonts w:ascii="Lato" w:eastAsia="Arial" w:hAnsi="Lato" w:cs="Arial"/>
                <w:b/>
                <w:bCs/>
                <w:sz w:val="18"/>
                <w:szCs w:val="18"/>
              </w:rPr>
              <w:t>Podmiot wnoszący uwagi</w:t>
            </w:r>
          </w:p>
        </w:tc>
        <w:tc>
          <w:tcPr>
            <w:tcW w:w="5812" w:type="dxa"/>
            <w:tcBorders>
              <w:top w:val="single" w:sz="4" w:space="0" w:color="auto"/>
              <w:left w:val="single" w:sz="4" w:space="0" w:color="auto"/>
            </w:tcBorders>
            <w:shd w:val="clear" w:color="auto" w:fill="FFFFFF"/>
            <w:vAlign w:val="center"/>
          </w:tcPr>
          <w:p w14:paraId="2A3878C3" w14:textId="77777777" w:rsidR="00A1261B" w:rsidRPr="009521C9" w:rsidRDefault="00A1261B" w:rsidP="00E54DC7">
            <w:pPr>
              <w:pStyle w:val="Inne0"/>
              <w:shd w:val="clear" w:color="auto" w:fill="auto"/>
              <w:spacing w:before="120" w:after="120"/>
              <w:jc w:val="center"/>
              <w:rPr>
                <w:rFonts w:ascii="Lato" w:hAnsi="Lato" w:cs="Arial"/>
                <w:sz w:val="18"/>
                <w:szCs w:val="18"/>
              </w:rPr>
            </w:pPr>
            <w:r w:rsidRPr="009521C9">
              <w:rPr>
                <w:rFonts w:ascii="Lato" w:eastAsia="Arial" w:hAnsi="Lato" w:cs="Arial"/>
                <w:b/>
                <w:bCs/>
                <w:sz w:val="18"/>
                <w:szCs w:val="18"/>
              </w:rPr>
              <w:t>Treść uwagi i uzasadnienie</w:t>
            </w:r>
          </w:p>
        </w:tc>
        <w:tc>
          <w:tcPr>
            <w:tcW w:w="2835" w:type="dxa"/>
            <w:tcBorders>
              <w:top w:val="single" w:sz="4" w:space="0" w:color="auto"/>
              <w:left w:val="single" w:sz="4" w:space="0" w:color="auto"/>
              <w:right w:val="single" w:sz="4" w:space="0" w:color="auto"/>
            </w:tcBorders>
            <w:shd w:val="clear" w:color="auto" w:fill="FFFFFF"/>
            <w:vAlign w:val="center"/>
          </w:tcPr>
          <w:p w14:paraId="593CD46F" w14:textId="4F137780" w:rsidR="00A1261B" w:rsidRPr="009521C9" w:rsidRDefault="00A1261B" w:rsidP="00E54DC7">
            <w:pPr>
              <w:pStyle w:val="Inne0"/>
              <w:shd w:val="clear" w:color="auto" w:fill="auto"/>
              <w:spacing w:before="120" w:after="120"/>
              <w:jc w:val="center"/>
              <w:rPr>
                <w:rFonts w:ascii="Lato" w:eastAsia="Arial" w:hAnsi="Lato" w:cs="Arial"/>
                <w:b/>
                <w:bCs/>
                <w:sz w:val="18"/>
                <w:szCs w:val="18"/>
              </w:rPr>
            </w:pPr>
            <w:r w:rsidRPr="009521C9">
              <w:rPr>
                <w:rFonts w:ascii="Lato" w:eastAsia="Arial" w:hAnsi="Lato" w:cs="Arial"/>
                <w:b/>
                <w:bCs/>
                <w:sz w:val="18"/>
                <w:szCs w:val="18"/>
              </w:rPr>
              <w:t>Propozycja zmian</w:t>
            </w:r>
          </w:p>
        </w:tc>
        <w:tc>
          <w:tcPr>
            <w:tcW w:w="4820" w:type="dxa"/>
            <w:tcBorders>
              <w:top w:val="single" w:sz="4" w:space="0" w:color="auto"/>
              <w:left w:val="single" w:sz="4" w:space="0" w:color="auto"/>
              <w:right w:val="single" w:sz="4" w:space="0" w:color="auto"/>
            </w:tcBorders>
            <w:shd w:val="clear" w:color="auto" w:fill="FFFFFF"/>
            <w:vAlign w:val="center"/>
          </w:tcPr>
          <w:p w14:paraId="5E36E323" w14:textId="31995F92" w:rsidR="00A1261B" w:rsidRPr="009521C9" w:rsidRDefault="008B779F" w:rsidP="00E54DC7">
            <w:pPr>
              <w:pStyle w:val="Inne0"/>
              <w:shd w:val="clear" w:color="auto" w:fill="auto"/>
              <w:spacing w:before="120" w:after="120"/>
              <w:ind w:left="131" w:right="138"/>
              <w:jc w:val="center"/>
              <w:rPr>
                <w:rFonts w:ascii="Lato" w:eastAsia="Arial" w:hAnsi="Lato" w:cs="Arial"/>
                <w:b/>
                <w:bCs/>
                <w:sz w:val="18"/>
                <w:szCs w:val="18"/>
              </w:rPr>
            </w:pPr>
            <w:r w:rsidRPr="009521C9">
              <w:rPr>
                <w:rFonts w:ascii="Lato" w:eastAsia="Arial" w:hAnsi="Lato" w:cs="Arial"/>
                <w:b/>
                <w:bCs/>
                <w:sz w:val="18"/>
                <w:szCs w:val="18"/>
              </w:rPr>
              <w:t xml:space="preserve">Stanowisko </w:t>
            </w:r>
            <w:proofErr w:type="spellStart"/>
            <w:r w:rsidR="00A1261B" w:rsidRPr="009521C9">
              <w:rPr>
                <w:rFonts w:ascii="Lato" w:eastAsia="Arial" w:hAnsi="Lato" w:cs="Arial"/>
                <w:b/>
                <w:bCs/>
                <w:sz w:val="18"/>
                <w:szCs w:val="18"/>
              </w:rPr>
              <w:t>MRiT</w:t>
            </w:r>
            <w:proofErr w:type="spellEnd"/>
          </w:p>
        </w:tc>
      </w:tr>
      <w:tr w:rsidR="00A1261B" w:rsidRPr="009521C9" w14:paraId="6C81883C" w14:textId="7AB4A20F" w:rsidTr="003005A0">
        <w:trPr>
          <w:trHeight w:val="20"/>
        </w:trPr>
        <w:tc>
          <w:tcPr>
            <w:tcW w:w="709" w:type="dxa"/>
            <w:tcBorders>
              <w:top w:val="single" w:sz="4" w:space="0" w:color="auto"/>
              <w:left w:val="single" w:sz="4" w:space="0" w:color="auto"/>
            </w:tcBorders>
            <w:shd w:val="clear" w:color="auto" w:fill="FFFFFF"/>
          </w:tcPr>
          <w:p w14:paraId="24135B11" w14:textId="53E9F19B" w:rsidR="00A1261B" w:rsidRPr="009521C9" w:rsidRDefault="00A1261B" w:rsidP="00B918CF">
            <w:pPr>
              <w:pStyle w:val="Inne0"/>
              <w:numPr>
                <w:ilvl w:val="0"/>
                <w:numId w:val="1"/>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tcBorders>
            <w:shd w:val="clear" w:color="auto" w:fill="FFFFFF"/>
          </w:tcPr>
          <w:p w14:paraId="159958C5" w14:textId="0650E950" w:rsidR="00A1261B" w:rsidRPr="009521C9" w:rsidRDefault="00EA4C87" w:rsidP="00E54DC7">
            <w:pPr>
              <w:pStyle w:val="Inne0"/>
              <w:spacing w:before="120" w:after="120"/>
              <w:ind w:left="138" w:right="274"/>
              <w:rPr>
                <w:rFonts w:ascii="Lato" w:eastAsia="Arial" w:hAnsi="Lato" w:cs="Arial"/>
                <w:sz w:val="18"/>
                <w:szCs w:val="18"/>
              </w:rPr>
            </w:pPr>
            <w:r w:rsidRPr="009521C9">
              <w:rPr>
                <w:rFonts w:ascii="Lato" w:eastAsia="Arial" w:hAnsi="Lato" w:cs="Arial"/>
                <w:sz w:val="18"/>
                <w:szCs w:val="18"/>
              </w:rPr>
              <w:t>Minister Infrastruktury</w:t>
            </w:r>
          </w:p>
        </w:tc>
        <w:tc>
          <w:tcPr>
            <w:tcW w:w="5812" w:type="dxa"/>
            <w:tcBorders>
              <w:top w:val="single" w:sz="4" w:space="0" w:color="auto"/>
              <w:left w:val="single" w:sz="4" w:space="0" w:color="auto"/>
            </w:tcBorders>
            <w:shd w:val="clear" w:color="auto" w:fill="FFFFFF"/>
          </w:tcPr>
          <w:p w14:paraId="1F411B63" w14:textId="19BB0E26" w:rsidR="00EA4C87" w:rsidRPr="009521C9" w:rsidRDefault="00EA4C87" w:rsidP="00E54DC7">
            <w:pPr>
              <w:pStyle w:val="Inne0"/>
              <w:spacing w:before="120" w:after="120"/>
              <w:ind w:left="138" w:right="274"/>
              <w:rPr>
                <w:rFonts w:ascii="Lato" w:eastAsia="Arial" w:hAnsi="Lato" w:cs="Arial"/>
                <w:sz w:val="18"/>
                <w:szCs w:val="18"/>
              </w:rPr>
            </w:pPr>
            <w:r w:rsidRPr="009521C9">
              <w:rPr>
                <w:rFonts w:ascii="Lato" w:eastAsia="Arial" w:hAnsi="Lato" w:cs="Arial"/>
                <w:sz w:val="18"/>
                <w:szCs w:val="18"/>
              </w:rPr>
              <w:t>Podtrzymuję uwagę do art. 39 ust. 2 ustawy z dnia 17 maja 1989 r. - Prawo geodezyjne i kartograficzne - obecnie art. 1 pkt 35 projektu ustawy - ujętą w zestawieniu uwag pod numerem 119.</w:t>
            </w:r>
          </w:p>
          <w:p w14:paraId="1FC4560C" w14:textId="77777777" w:rsidR="00EA4C87" w:rsidRPr="009521C9" w:rsidRDefault="00EA4C87" w:rsidP="00E54DC7">
            <w:pPr>
              <w:pStyle w:val="Inne0"/>
              <w:spacing w:before="120" w:after="120"/>
              <w:ind w:left="138" w:right="274"/>
              <w:rPr>
                <w:rFonts w:ascii="Lato" w:eastAsia="Arial" w:hAnsi="Lato" w:cs="Arial"/>
                <w:sz w:val="18"/>
                <w:szCs w:val="18"/>
              </w:rPr>
            </w:pPr>
            <w:r w:rsidRPr="009521C9">
              <w:rPr>
                <w:rFonts w:ascii="Lato" w:eastAsia="Arial" w:hAnsi="Lato" w:cs="Arial"/>
                <w:sz w:val="18"/>
                <w:szCs w:val="18"/>
              </w:rPr>
              <w:t>W mojej ocenie stanowisko Projektodawcy (</w:t>
            </w:r>
            <w:proofErr w:type="spellStart"/>
            <w:r w:rsidRPr="009521C9">
              <w:rPr>
                <w:rFonts w:ascii="Lato" w:eastAsia="Arial" w:hAnsi="Lato" w:cs="Arial"/>
                <w:sz w:val="18"/>
                <w:szCs w:val="18"/>
              </w:rPr>
              <w:t>MRiT</w:t>
            </w:r>
            <w:proofErr w:type="spellEnd"/>
            <w:r w:rsidRPr="009521C9">
              <w:rPr>
                <w:rFonts w:ascii="Lato" w:eastAsia="Arial" w:hAnsi="Lato" w:cs="Arial"/>
                <w:sz w:val="18"/>
                <w:szCs w:val="18"/>
              </w:rPr>
              <w:t>), wydaje się być niespójne z innymi przepisami prawa i niekonsekwentne. Przy utrwalaniu znakiem granicznym nowego punktu granicznego, na podstawie decyzji podziałowych lub decyzji o zezwoleniu na realizację inwestycji drogowej, stabilizacji dokonuje się pomimo sprzeciwu i kwestionowania położenia punktu granicznego przez właścicieli nieruchomości sąsiednich i nikt nie dostrzega w tym naruszenia przepisów kodeksu cywilnego. Natomiast jeśli ten sam znak graniczny ulegnie zniszczeniu (co zdarza się bardzo często podczas budowy drogi) i wykonuje się czynności jego wznowienia, to przy tym samym sprzeciwie tego samego właściciela nieruchomości sąsiedniej nie można dokonać stabilizacji, ponieważ dopatruje się w tym naruszenia przepisów kodeksu cywilnego. Jeśli przyjmiemy, że w powyższej sytuacji właściciel nieruchomości sąsiedniej może podważać położenie wznawianego znaku granicznego, to w konsekwencji należy wstrzymać prace budowlane na tym terenie do czasu przeprowadzenia postępowania rozgraniczeniowego, które ma rozstrzygnąć domniemany spór graniczny - w praktyce nawet do kilku lat. Analogicznie należy zawiesić postępowanie administracyjne dotyczące bezprawnego zajęcia pasa drogowego - również nawet na kilka lat.</w:t>
            </w:r>
          </w:p>
          <w:p w14:paraId="7BE0B022" w14:textId="77777777" w:rsidR="00A1261B" w:rsidRPr="009521C9" w:rsidRDefault="00EA4C87" w:rsidP="00E54DC7">
            <w:pPr>
              <w:pStyle w:val="Inne0"/>
              <w:shd w:val="clear" w:color="auto" w:fill="auto"/>
              <w:spacing w:before="120" w:after="120"/>
              <w:ind w:left="138" w:right="274"/>
              <w:rPr>
                <w:rFonts w:ascii="Lato" w:eastAsia="Arial" w:hAnsi="Lato" w:cs="Arial"/>
                <w:sz w:val="18"/>
                <w:szCs w:val="18"/>
              </w:rPr>
            </w:pPr>
            <w:r w:rsidRPr="009521C9">
              <w:rPr>
                <w:rFonts w:ascii="Lato" w:eastAsia="Arial" w:hAnsi="Lato" w:cs="Arial"/>
                <w:sz w:val="18"/>
                <w:szCs w:val="18"/>
              </w:rPr>
              <w:t>Proponowane zmiany nie dotyczą samego postępowania rozgraniczeniowego, ale powodują konieczność jego przeprowadzenia nawet wtedy, gdy położenie punktu granicznego wynika z prawomocnych decyzji podziałowych i zezwoleń na realizację inwestycji drogowych.</w:t>
            </w:r>
          </w:p>
          <w:p w14:paraId="36EF3CE2" w14:textId="5A23541A" w:rsidR="00EA4C87" w:rsidRPr="009521C9" w:rsidRDefault="00EA4C87" w:rsidP="00E54DC7">
            <w:pPr>
              <w:pStyle w:val="Inne0"/>
              <w:shd w:val="clear" w:color="auto" w:fill="auto"/>
              <w:spacing w:before="120" w:after="120"/>
              <w:ind w:left="138" w:right="274"/>
              <w:rPr>
                <w:rFonts w:ascii="Lato" w:eastAsia="Arial" w:hAnsi="Lato" w:cs="Arial"/>
                <w:sz w:val="18"/>
                <w:szCs w:val="18"/>
              </w:rPr>
            </w:pPr>
            <w:r w:rsidRPr="009521C9">
              <w:rPr>
                <w:rFonts w:ascii="Lato" w:eastAsia="Arial" w:hAnsi="Lato" w:cs="Arial"/>
                <w:sz w:val="18"/>
                <w:szCs w:val="18"/>
              </w:rPr>
              <w:t>O wszczęcie postępowania rozgraniczeniowego zmuszony będzie wnioskować zarządca drogi (któremu zależy na „pewności” granic pasa drogowego, którym zarządza). Zarządca drogi zmuszony będzie ponieść koszty tego postępowania i ewentualnie dochodzić zwrotu części kosztów od właścicieli nieruchomości sąsiednich.</w:t>
            </w:r>
          </w:p>
        </w:tc>
        <w:tc>
          <w:tcPr>
            <w:tcW w:w="2835" w:type="dxa"/>
            <w:tcBorders>
              <w:top w:val="single" w:sz="4" w:space="0" w:color="auto"/>
              <w:left w:val="single" w:sz="4" w:space="0" w:color="auto"/>
              <w:right w:val="single" w:sz="4" w:space="0" w:color="auto"/>
            </w:tcBorders>
            <w:shd w:val="clear" w:color="auto" w:fill="FFFFFF"/>
          </w:tcPr>
          <w:p w14:paraId="12FF703D" w14:textId="0031DF31" w:rsidR="00A1261B" w:rsidRPr="009521C9" w:rsidRDefault="00A1261B" w:rsidP="00E54DC7">
            <w:pPr>
              <w:pStyle w:val="Inne0"/>
              <w:shd w:val="clear" w:color="auto" w:fill="auto"/>
              <w:spacing w:before="120" w:after="120"/>
              <w:ind w:left="136" w:right="136"/>
              <w:rPr>
                <w:rFonts w:ascii="Lato" w:eastAsia="Arial" w:hAnsi="Lato" w:cs="Arial"/>
                <w:sz w:val="18"/>
                <w:szCs w:val="18"/>
              </w:rPr>
            </w:pPr>
          </w:p>
        </w:tc>
        <w:tc>
          <w:tcPr>
            <w:tcW w:w="4820" w:type="dxa"/>
            <w:tcBorders>
              <w:top w:val="single" w:sz="4" w:space="0" w:color="auto"/>
              <w:left w:val="single" w:sz="4" w:space="0" w:color="auto"/>
              <w:right w:val="single" w:sz="4" w:space="0" w:color="auto"/>
            </w:tcBorders>
            <w:shd w:val="clear" w:color="auto" w:fill="FFFFFF"/>
          </w:tcPr>
          <w:p w14:paraId="61D8CA09" w14:textId="75BD56F4" w:rsidR="00847B90" w:rsidRPr="009521C9" w:rsidRDefault="00E54DC7" w:rsidP="00E54DC7">
            <w:pPr>
              <w:pStyle w:val="Inne0"/>
              <w:shd w:val="clear" w:color="auto" w:fill="auto"/>
              <w:spacing w:before="120" w:after="120"/>
              <w:ind w:left="131" w:right="138"/>
              <w:rPr>
                <w:rFonts w:ascii="Lato" w:eastAsia="Arial" w:hAnsi="Lato" w:cs="Arial"/>
                <w:sz w:val="18"/>
                <w:szCs w:val="18"/>
              </w:rPr>
            </w:pPr>
            <w:r w:rsidRPr="009521C9">
              <w:rPr>
                <w:rFonts w:ascii="Lato" w:eastAsia="Arial" w:hAnsi="Lato" w:cs="Arial"/>
                <w:sz w:val="18"/>
                <w:szCs w:val="18"/>
              </w:rPr>
              <w:t>Zgłoszona uwaga dotyczy sposobu wykonywania prac geodezyjnych i jest poza zakresem prac Komitetu do spraw Cyfryzacji.</w:t>
            </w:r>
          </w:p>
          <w:p w14:paraId="7EBA0C50" w14:textId="7BBDB72A" w:rsidR="00E54DC7" w:rsidRPr="009521C9" w:rsidRDefault="00E54DC7" w:rsidP="00E54DC7">
            <w:pPr>
              <w:pStyle w:val="Inne0"/>
              <w:shd w:val="clear" w:color="auto" w:fill="auto"/>
              <w:spacing w:before="120" w:after="120"/>
              <w:ind w:left="131" w:right="138"/>
              <w:rPr>
                <w:rFonts w:ascii="Lato" w:eastAsia="Arial" w:hAnsi="Lato" w:cs="Arial"/>
                <w:sz w:val="18"/>
                <w:szCs w:val="18"/>
              </w:rPr>
            </w:pPr>
            <w:r w:rsidRPr="009521C9">
              <w:rPr>
                <w:rFonts w:ascii="Lato" w:eastAsia="Arial" w:hAnsi="Lato" w:cs="Arial"/>
                <w:sz w:val="18"/>
                <w:szCs w:val="18"/>
              </w:rPr>
              <w:t>Ministerstwo Rozwoju i Technologii podtrzymuje stanowisko zawarte w lp. 119 tabeli z uzgodnień międzyresortowych przesłaną do Ministerstwa Infrastruktury przy piśmie z dnia 12 stycznia 2026 r. oraz w lp. 32 tabeli z uzgodnień międzyresortowych przesłaną do Ministerstwa Infrastruktury przy piśmie z dnia 17 kwietnia 2026 r.</w:t>
            </w:r>
          </w:p>
        </w:tc>
      </w:tr>
      <w:tr w:rsidR="003005A0" w:rsidRPr="009521C9" w14:paraId="348E1B26" w14:textId="4277446F" w:rsidTr="003005A0">
        <w:trPr>
          <w:trHeight w:val="20"/>
        </w:trPr>
        <w:tc>
          <w:tcPr>
            <w:tcW w:w="709" w:type="dxa"/>
            <w:tcBorders>
              <w:top w:val="single" w:sz="4" w:space="0" w:color="auto"/>
              <w:left w:val="single" w:sz="4" w:space="0" w:color="auto"/>
            </w:tcBorders>
            <w:shd w:val="clear" w:color="auto" w:fill="FFFFFF"/>
          </w:tcPr>
          <w:p w14:paraId="15D3EF11" w14:textId="50E6ABB6" w:rsidR="003005A0" w:rsidRPr="009521C9" w:rsidRDefault="003005A0" w:rsidP="00B918CF">
            <w:pPr>
              <w:pStyle w:val="Inne0"/>
              <w:numPr>
                <w:ilvl w:val="0"/>
                <w:numId w:val="1"/>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tcBorders>
            <w:shd w:val="clear" w:color="auto" w:fill="FFFFFF"/>
          </w:tcPr>
          <w:p w14:paraId="7E87168B" w14:textId="65E665C2" w:rsidR="003005A0" w:rsidRPr="009521C9" w:rsidRDefault="003005A0" w:rsidP="00E54DC7">
            <w:pPr>
              <w:pStyle w:val="Inne0"/>
              <w:shd w:val="clear" w:color="auto" w:fill="auto"/>
              <w:spacing w:before="120" w:after="120"/>
              <w:ind w:left="140"/>
              <w:rPr>
                <w:rFonts w:ascii="Lato" w:eastAsia="Arial" w:hAnsi="Lato" w:cs="Arial"/>
                <w:sz w:val="18"/>
                <w:szCs w:val="18"/>
              </w:rPr>
            </w:pPr>
            <w:r w:rsidRPr="009521C9">
              <w:rPr>
                <w:rFonts w:ascii="Lato" w:eastAsia="Arial" w:hAnsi="Lato" w:cs="Arial"/>
                <w:sz w:val="18"/>
                <w:szCs w:val="18"/>
              </w:rPr>
              <w:t>Minister Infrastruktury</w:t>
            </w:r>
          </w:p>
        </w:tc>
        <w:tc>
          <w:tcPr>
            <w:tcW w:w="5812" w:type="dxa"/>
            <w:tcBorders>
              <w:top w:val="single" w:sz="4" w:space="0" w:color="auto"/>
              <w:left w:val="single" w:sz="4" w:space="0" w:color="auto"/>
            </w:tcBorders>
            <w:shd w:val="clear" w:color="auto" w:fill="FFFFFF"/>
          </w:tcPr>
          <w:p w14:paraId="1F78DB9E" w14:textId="45EA724C" w:rsidR="003005A0" w:rsidRPr="009521C9" w:rsidRDefault="003005A0" w:rsidP="00E54DC7">
            <w:pPr>
              <w:pStyle w:val="Inne0"/>
              <w:shd w:val="clear" w:color="auto" w:fill="auto"/>
              <w:spacing w:before="120" w:after="120"/>
              <w:ind w:left="138" w:right="274"/>
              <w:rPr>
                <w:rFonts w:ascii="Lato" w:eastAsia="Arial" w:hAnsi="Lato" w:cs="Arial"/>
                <w:sz w:val="18"/>
                <w:szCs w:val="18"/>
              </w:rPr>
            </w:pPr>
            <w:r w:rsidRPr="009521C9">
              <w:rPr>
                <w:rFonts w:ascii="Lato" w:eastAsia="Arial" w:hAnsi="Lato" w:cs="Arial"/>
                <w:sz w:val="18"/>
                <w:szCs w:val="18"/>
              </w:rPr>
              <w:t>Podtrzymuję nieuwzględnioną uwagę - ujętą pod nr 120 w tabeli uwag załączonej do ww. projektu ustawy.</w:t>
            </w:r>
          </w:p>
        </w:tc>
        <w:tc>
          <w:tcPr>
            <w:tcW w:w="2835" w:type="dxa"/>
            <w:tcBorders>
              <w:top w:val="single" w:sz="4" w:space="0" w:color="auto"/>
              <w:left w:val="single" w:sz="4" w:space="0" w:color="auto"/>
              <w:right w:val="single" w:sz="4" w:space="0" w:color="auto"/>
            </w:tcBorders>
            <w:shd w:val="clear" w:color="auto" w:fill="FFFFFF"/>
          </w:tcPr>
          <w:p w14:paraId="7A8DFF75" w14:textId="0DF896C8" w:rsidR="003005A0" w:rsidRPr="009521C9" w:rsidRDefault="003005A0" w:rsidP="00E54DC7">
            <w:pPr>
              <w:pStyle w:val="Inne0"/>
              <w:shd w:val="clear" w:color="auto" w:fill="auto"/>
              <w:spacing w:before="120" w:after="120"/>
              <w:ind w:left="136" w:right="136"/>
              <w:rPr>
                <w:rFonts w:ascii="Lato" w:eastAsia="Arial" w:hAnsi="Lato" w:cs="Arial"/>
                <w:sz w:val="18"/>
                <w:szCs w:val="18"/>
              </w:rPr>
            </w:pPr>
          </w:p>
        </w:tc>
        <w:tc>
          <w:tcPr>
            <w:tcW w:w="4820" w:type="dxa"/>
            <w:vMerge w:val="restart"/>
            <w:tcBorders>
              <w:top w:val="single" w:sz="4" w:space="0" w:color="auto"/>
              <w:left w:val="single" w:sz="4" w:space="0" w:color="auto"/>
              <w:right w:val="single" w:sz="4" w:space="0" w:color="auto"/>
            </w:tcBorders>
            <w:shd w:val="clear" w:color="auto" w:fill="FFFFFF"/>
          </w:tcPr>
          <w:p w14:paraId="3C771C21" w14:textId="0BD196F8" w:rsidR="003005A0" w:rsidRPr="009521C9" w:rsidRDefault="003005A0" w:rsidP="00E54DC7">
            <w:pPr>
              <w:pStyle w:val="Inne0"/>
              <w:shd w:val="clear" w:color="auto" w:fill="auto"/>
              <w:spacing w:before="120" w:after="120"/>
              <w:ind w:left="131" w:right="138"/>
              <w:rPr>
                <w:rFonts w:ascii="Lato" w:eastAsia="Arial" w:hAnsi="Lato" w:cs="Arial"/>
                <w:sz w:val="18"/>
                <w:szCs w:val="18"/>
              </w:rPr>
            </w:pPr>
            <w:r w:rsidRPr="009521C9">
              <w:rPr>
                <w:rFonts w:ascii="Lato" w:eastAsia="Arial" w:hAnsi="Lato" w:cs="Arial"/>
                <w:sz w:val="18"/>
                <w:szCs w:val="18"/>
              </w:rPr>
              <w:t xml:space="preserve">Zgłoszona uwaga dotyczy wprowadzenia zwolnienia </w:t>
            </w:r>
            <w:r w:rsidR="00F9021D">
              <w:rPr>
                <w:rFonts w:ascii="Lato" w:eastAsia="Arial" w:hAnsi="Lato" w:cs="Arial"/>
                <w:sz w:val="18"/>
                <w:szCs w:val="18"/>
              </w:rPr>
              <w:br/>
            </w:r>
            <w:r w:rsidRPr="009521C9">
              <w:rPr>
                <w:rFonts w:ascii="Lato" w:eastAsia="Arial" w:hAnsi="Lato" w:cs="Arial"/>
                <w:sz w:val="18"/>
                <w:szCs w:val="18"/>
              </w:rPr>
              <w:t xml:space="preserve">z opłat za wydanie wypisów i wyrysów i jest poza </w:t>
            </w:r>
            <w:r w:rsidRPr="009521C9">
              <w:rPr>
                <w:rFonts w:ascii="Lato" w:eastAsia="Arial" w:hAnsi="Lato" w:cs="Arial"/>
                <w:sz w:val="18"/>
                <w:szCs w:val="18"/>
              </w:rPr>
              <w:lastRenderedPageBreak/>
              <w:t>zakresem prac Komitetu do spraw Cyfryzacji.</w:t>
            </w:r>
          </w:p>
          <w:p w14:paraId="74893B66" w14:textId="6A7DA41C" w:rsidR="003005A0" w:rsidRPr="009521C9" w:rsidRDefault="003005A0" w:rsidP="00E54DC7">
            <w:pPr>
              <w:pStyle w:val="Inne0"/>
              <w:shd w:val="clear" w:color="auto" w:fill="auto"/>
              <w:spacing w:before="120" w:after="120"/>
              <w:ind w:left="131" w:right="138"/>
              <w:rPr>
                <w:rFonts w:ascii="Lato" w:eastAsia="Arial" w:hAnsi="Lato" w:cs="Arial"/>
                <w:sz w:val="18"/>
                <w:szCs w:val="18"/>
              </w:rPr>
            </w:pPr>
            <w:r w:rsidRPr="009521C9">
              <w:rPr>
                <w:rFonts w:ascii="Lato" w:eastAsia="Arial" w:hAnsi="Lato" w:cs="Arial"/>
                <w:sz w:val="18"/>
                <w:szCs w:val="18"/>
              </w:rPr>
              <w:t xml:space="preserve">Ministerstwo Rozwoju i Technologii podtrzymuje stanowisko zawarte w lp. 120 tabeli z uzgodnień międzyresortowych przesłaną do Ministerstwa Infrastruktury przy piśmie z dnia 12 stycznia 2026 r. oraz w lp. 33 tabeli z uzgodnień międzyresortowych przesłaną do Ministerstwa Infrastruktury przy piśmie z dnia 17 kwietnia 2026 r. </w:t>
            </w:r>
          </w:p>
        </w:tc>
      </w:tr>
      <w:tr w:rsidR="003005A0" w:rsidRPr="009521C9" w14:paraId="17188BD8" w14:textId="4FB8B988" w:rsidTr="003005A0">
        <w:trPr>
          <w:trHeight w:val="333"/>
        </w:trPr>
        <w:tc>
          <w:tcPr>
            <w:tcW w:w="709" w:type="dxa"/>
            <w:tcBorders>
              <w:top w:val="single" w:sz="4" w:space="0" w:color="auto"/>
              <w:left w:val="single" w:sz="4" w:space="0" w:color="auto"/>
            </w:tcBorders>
            <w:shd w:val="clear" w:color="auto" w:fill="FFFFFF"/>
          </w:tcPr>
          <w:p w14:paraId="5D5E144D" w14:textId="3C564E3E" w:rsidR="003005A0" w:rsidRPr="009521C9" w:rsidRDefault="003005A0" w:rsidP="00B918CF">
            <w:pPr>
              <w:pStyle w:val="Inne0"/>
              <w:numPr>
                <w:ilvl w:val="0"/>
                <w:numId w:val="1"/>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tcBorders>
            <w:shd w:val="clear" w:color="auto" w:fill="FFFFFF"/>
          </w:tcPr>
          <w:p w14:paraId="7D3DA556" w14:textId="602FE406" w:rsidR="003005A0" w:rsidRPr="009521C9" w:rsidRDefault="003005A0" w:rsidP="00E54DC7">
            <w:pPr>
              <w:pStyle w:val="Inne0"/>
              <w:shd w:val="clear" w:color="auto" w:fill="auto"/>
              <w:spacing w:before="120" w:after="120"/>
              <w:ind w:left="140"/>
              <w:rPr>
                <w:rFonts w:ascii="Lato" w:eastAsia="Arial" w:hAnsi="Lato" w:cs="Arial"/>
                <w:sz w:val="18"/>
                <w:szCs w:val="18"/>
              </w:rPr>
            </w:pPr>
            <w:r w:rsidRPr="009521C9">
              <w:rPr>
                <w:rFonts w:ascii="Lato" w:eastAsia="Arial" w:hAnsi="Lato" w:cs="Arial"/>
                <w:sz w:val="18"/>
                <w:szCs w:val="18"/>
              </w:rPr>
              <w:t>Minister Infrastruktury</w:t>
            </w:r>
          </w:p>
        </w:tc>
        <w:tc>
          <w:tcPr>
            <w:tcW w:w="5812" w:type="dxa"/>
            <w:tcBorders>
              <w:top w:val="single" w:sz="4" w:space="0" w:color="auto"/>
              <w:left w:val="single" w:sz="4" w:space="0" w:color="auto"/>
            </w:tcBorders>
            <w:shd w:val="clear" w:color="auto" w:fill="FFFFFF"/>
          </w:tcPr>
          <w:p w14:paraId="28233C80" w14:textId="12733B89" w:rsidR="003005A0" w:rsidRPr="009521C9" w:rsidRDefault="003005A0" w:rsidP="00E54DC7">
            <w:pPr>
              <w:spacing w:before="120" w:after="120"/>
              <w:ind w:left="138" w:right="274"/>
              <w:rPr>
                <w:rFonts w:ascii="Lato" w:hAnsi="Lato" w:cs="Arial"/>
                <w:sz w:val="18"/>
                <w:szCs w:val="18"/>
              </w:rPr>
            </w:pPr>
            <w:r w:rsidRPr="009521C9">
              <w:rPr>
                <w:rFonts w:ascii="Lato" w:hAnsi="Lato" w:cs="Arial"/>
                <w:sz w:val="18"/>
                <w:szCs w:val="18"/>
              </w:rPr>
              <w:t>Ponawiam także nieuwzględnioną uwagę, przekazaną w piśmie z dnia 21 stycznia 2026 r., dotyczącą zmiany w art. 40b ustawy z dnia 17 maja 1989 r. - Prawo geodezyjne i kartograficzne przez dodanie w ust. 2 nowego pkt 6, w brzmieniu:</w:t>
            </w:r>
          </w:p>
          <w:p w14:paraId="6AD4C354" w14:textId="77777777" w:rsidR="003005A0" w:rsidRPr="009521C9" w:rsidRDefault="003005A0" w:rsidP="00E54DC7">
            <w:pPr>
              <w:spacing w:before="120" w:after="120"/>
              <w:ind w:left="138" w:right="274"/>
              <w:rPr>
                <w:rFonts w:ascii="Lato" w:hAnsi="Lato" w:cs="Arial"/>
                <w:sz w:val="18"/>
                <w:szCs w:val="18"/>
              </w:rPr>
            </w:pPr>
            <w:r w:rsidRPr="009521C9">
              <w:rPr>
                <w:rFonts w:ascii="Lato" w:hAnsi="Lato" w:cs="Arial"/>
                <w:sz w:val="18"/>
                <w:szCs w:val="18"/>
              </w:rPr>
              <w:t>"6) Państwowego Gospodarstwa Wodnego Wody Polskie w związku z wykonywaniem ustawowych zadań w zakresie kontroli gospodarowania wodami oraz działań mających na celu regulację stanu prawnego nieruchomości Skarbu Państwa, w zakresie określonym w art. 219 ust. 1, art. 220 ust. 1, art. 258 ust. 10, 258a ust. 1, 258b oraz 528 ust. 6 ustawy z dnia 20 lipca 2017 r. - Prawo wodne (Dz. U. z 2024 r. poz. 1087, 1089 i 1473 oraz z 2025 r. poz. 216 i 680).".</w:t>
            </w:r>
          </w:p>
          <w:p w14:paraId="7F565CA1" w14:textId="77777777" w:rsidR="003005A0" w:rsidRPr="009521C9" w:rsidRDefault="003005A0" w:rsidP="00E54DC7">
            <w:pPr>
              <w:spacing w:before="120" w:after="120"/>
              <w:ind w:left="138" w:right="274"/>
              <w:rPr>
                <w:rFonts w:ascii="Lato" w:hAnsi="Lato" w:cs="Arial"/>
                <w:sz w:val="18"/>
                <w:szCs w:val="18"/>
              </w:rPr>
            </w:pPr>
            <w:r w:rsidRPr="009521C9">
              <w:rPr>
                <w:rFonts w:ascii="Lato" w:hAnsi="Lato" w:cs="Arial"/>
                <w:sz w:val="18"/>
                <w:szCs w:val="18"/>
              </w:rPr>
              <w:t>Należy wskazać, że Państwowe Gospodarstwo Wodne Wody Polskie (PGW WP), pomimo tego, że wykonuje zadania publiczne w zakresie wykonywanych kontroli, a także zarządzania mieniem Skarbu Państwa, nie podlega zwolnieniu z opłaty za wypisy i wyrysy z operatu ewidencyjnego, z uwagi na fakt, że jest państwową osobą prawną.</w:t>
            </w:r>
          </w:p>
          <w:p w14:paraId="2F2C9B14" w14:textId="77777777" w:rsidR="003005A0" w:rsidRPr="009521C9" w:rsidRDefault="003005A0" w:rsidP="00E54DC7">
            <w:pPr>
              <w:spacing w:before="120" w:after="120"/>
              <w:ind w:left="138" w:right="274"/>
              <w:rPr>
                <w:rFonts w:ascii="Lato" w:hAnsi="Lato" w:cs="Arial"/>
                <w:sz w:val="18"/>
                <w:szCs w:val="18"/>
              </w:rPr>
            </w:pPr>
            <w:r w:rsidRPr="009521C9">
              <w:rPr>
                <w:rFonts w:ascii="Lato" w:hAnsi="Lato" w:cs="Arial"/>
                <w:sz w:val="18"/>
                <w:szCs w:val="18"/>
              </w:rPr>
              <w:t>Warto dodać, że zapewnienie prawidłowej reprezentacji przez PGW WP nad mieniem będącym własnością Skarbu Państwa wymaga podejmowania różnorodnych czynności, w tym:</w:t>
            </w:r>
          </w:p>
          <w:p w14:paraId="5D461B37" w14:textId="7CEDF430" w:rsidR="003005A0" w:rsidRPr="009521C9" w:rsidRDefault="003005A0" w:rsidP="00E54DC7">
            <w:pPr>
              <w:spacing w:before="120" w:after="120"/>
              <w:ind w:left="138" w:right="274"/>
              <w:rPr>
                <w:rFonts w:ascii="Lato" w:hAnsi="Lato" w:cs="Arial"/>
                <w:sz w:val="18"/>
                <w:szCs w:val="18"/>
              </w:rPr>
            </w:pPr>
            <w:r w:rsidRPr="009521C9">
              <w:rPr>
                <w:rFonts w:ascii="Lato" w:hAnsi="Lato" w:cs="Arial"/>
                <w:sz w:val="18"/>
                <w:szCs w:val="18"/>
              </w:rPr>
              <w:t>1) ustalania charakteru wód (na podstawie art. 219 ustawy Prawo wodne) - gdyż przedmiotowa czynność przesądza, czy dana woda należy do wód płynących - dla których wyłącznym właścicielem jest Skarb Państwa;</w:t>
            </w:r>
          </w:p>
          <w:p w14:paraId="658EFBB9" w14:textId="3F6F351F" w:rsidR="003005A0" w:rsidRPr="009521C9" w:rsidRDefault="003005A0" w:rsidP="00E54DC7">
            <w:pPr>
              <w:spacing w:before="120" w:after="120"/>
              <w:ind w:left="138" w:right="274"/>
              <w:rPr>
                <w:rFonts w:ascii="Lato" w:hAnsi="Lato" w:cs="Arial"/>
                <w:sz w:val="18"/>
                <w:szCs w:val="18"/>
              </w:rPr>
            </w:pPr>
            <w:r w:rsidRPr="009521C9">
              <w:rPr>
                <w:rFonts w:ascii="Lato" w:hAnsi="Lato" w:cs="Arial"/>
                <w:sz w:val="18"/>
                <w:szCs w:val="18"/>
              </w:rPr>
              <w:t>2) ustalenia linii brzegów cieków naturalnych (na podstawie art. 220 ust. 1 ustawy Prawo wodne) - gdyż dana czynność przesądza o przebiegu granic wód stanowiących własność Skarbu Państwa;</w:t>
            </w:r>
          </w:p>
          <w:p w14:paraId="395BD3E1" w14:textId="7EAE807B" w:rsidR="003005A0" w:rsidRPr="009521C9" w:rsidRDefault="003005A0" w:rsidP="00E54DC7">
            <w:pPr>
              <w:spacing w:before="120" w:after="120"/>
              <w:ind w:left="138" w:right="274"/>
              <w:rPr>
                <w:rFonts w:ascii="Lato" w:hAnsi="Lato" w:cs="Arial"/>
                <w:sz w:val="18"/>
                <w:szCs w:val="18"/>
              </w:rPr>
            </w:pPr>
            <w:r w:rsidRPr="009521C9">
              <w:rPr>
                <w:rFonts w:ascii="Lato" w:hAnsi="Lato" w:cs="Arial"/>
                <w:sz w:val="18"/>
                <w:szCs w:val="18"/>
              </w:rPr>
              <w:t>3) nabywania niezbędnych nieruchomości na rzecz Skarbu Państwa w celu ochrony przeciwpowodziowej, a także potwierdzania reprezentacji PGW WP wobec tych nieruchomości (na podstawie art. 258a, art. 258b oraz art. 528 ust. 6 ustawy Prawo wodne).</w:t>
            </w:r>
          </w:p>
          <w:p w14:paraId="12DC3941" w14:textId="77777777" w:rsidR="003005A0" w:rsidRPr="009521C9" w:rsidRDefault="003005A0" w:rsidP="00E54DC7">
            <w:pPr>
              <w:spacing w:before="120" w:after="120"/>
              <w:ind w:left="138" w:right="274"/>
              <w:rPr>
                <w:rFonts w:ascii="Lato" w:hAnsi="Lato" w:cs="Arial"/>
                <w:sz w:val="18"/>
                <w:szCs w:val="18"/>
              </w:rPr>
            </w:pPr>
            <w:r w:rsidRPr="009521C9">
              <w:rPr>
                <w:rFonts w:ascii="Lato" w:hAnsi="Lato" w:cs="Arial"/>
                <w:sz w:val="18"/>
                <w:szCs w:val="18"/>
              </w:rPr>
              <w:t xml:space="preserve">Konieczność realizacji nowych inwestycji pozwalających na lepsze zabezpieczenie przed powodzią, konieczność naprawy i rozbudowy istniejących urządzeń wymaga sprawnego i możliwie szybkiego pozyskiwania gruntów pod ich realizację. Natomiast nabywanie nieruchomości na potrzeby inwestycji przeciwpowodziowych wymaga uprzedniego uzyskania wypisów z ewidencji gruntów i budynków, co zbytecznie podwyższa koszty inwestycji. W wielu przypadkach środki na realizacje inwestycji zapewniane są z budżetu państwa w ramach przyznawanych dotacji celowych. Tym samym ponoszenie kosztów przez PGW WP na rzecz realizacji inwestycji doprowadza do zbytecznego przekazywania do budżetu </w:t>
            </w:r>
            <w:r w:rsidRPr="009521C9">
              <w:rPr>
                <w:rFonts w:ascii="Lato" w:hAnsi="Lato" w:cs="Arial"/>
                <w:sz w:val="18"/>
                <w:szCs w:val="18"/>
              </w:rPr>
              <w:lastRenderedPageBreak/>
              <w:t>państwa tych środków uzyskanych z budżetu państwa.</w:t>
            </w:r>
          </w:p>
          <w:p w14:paraId="258D3647" w14:textId="77777777" w:rsidR="003005A0" w:rsidRPr="009521C9" w:rsidRDefault="003005A0" w:rsidP="00E54DC7">
            <w:pPr>
              <w:spacing w:before="120" w:after="120"/>
              <w:ind w:left="138" w:right="274"/>
              <w:rPr>
                <w:rFonts w:ascii="Lato" w:hAnsi="Lato" w:cs="Arial"/>
                <w:sz w:val="18"/>
                <w:szCs w:val="18"/>
              </w:rPr>
            </w:pPr>
            <w:r w:rsidRPr="009521C9">
              <w:rPr>
                <w:rFonts w:ascii="Lato" w:hAnsi="Lato" w:cs="Arial"/>
                <w:sz w:val="18"/>
                <w:szCs w:val="18"/>
              </w:rPr>
              <w:t>Należy także podkreślić, że inwestycje realizowane przez PGW WP o charakterze przeciwpowodziowym albo retencyjnym nie są realizowane w interesie własnym, ale w interesie ogółu obywateli i bezpieczeństwa Państwa. Proponowane rozwiązanie pozwoli na ograniczenie kosztów podejmowanych działań zarówno w sytuacjach kryzysowych, jak i w normalnym funkcjonowaniu.</w:t>
            </w:r>
          </w:p>
          <w:p w14:paraId="3567F618" w14:textId="77777777" w:rsidR="003005A0" w:rsidRPr="009521C9" w:rsidRDefault="003005A0" w:rsidP="00E54DC7">
            <w:pPr>
              <w:spacing w:before="120" w:after="120"/>
              <w:ind w:left="138" w:right="274"/>
              <w:rPr>
                <w:rFonts w:ascii="Lato" w:hAnsi="Lato" w:cs="Arial"/>
                <w:sz w:val="18"/>
                <w:szCs w:val="18"/>
              </w:rPr>
            </w:pPr>
            <w:r w:rsidRPr="009521C9">
              <w:rPr>
                <w:rFonts w:ascii="Lato" w:hAnsi="Lato" w:cs="Arial"/>
                <w:sz w:val="18"/>
                <w:szCs w:val="18"/>
              </w:rPr>
              <w:t>Odnosząc się do kwestii kontroli gospodarowania wodami prowadzonej przez PGW WP należy wskazać dodatkowo, że w wielu przypadkach podjęcie odpowiednich działań w zakresie kontroli gospodarowania wodami wymaga ustalenia właściciela nieruchomości na danym terenie. Przede wszystkim dotyczy to nielegalnego wykonania urządzeń wodnych lub nielegalnego korzystania z wód oraz niezgodnego z prawem grodzenia nieruchomości przyległych do wód. Tym samym realizacja tych zadań publicznych prowadzi do zbytniego obciążania kosztami uzyskiwania wypisów przez PGW WP.</w:t>
            </w:r>
          </w:p>
          <w:p w14:paraId="7058C850" w14:textId="77777777" w:rsidR="003005A0" w:rsidRPr="009521C9" w:rsidRDefault="003005A0" w:rsidP="00E54DC7">
            <w:pPr>
              <w:spacing w:before="120" w:after="120"/>
              <w:ind w:left="138" w:right="274"/>
              <w:rPr>
                <w:rFonts w:ascii="Lato" w:hAnsi="Lato" w:cs="Arial"/>
                <w:sz w:val="18"/>
                <w:szCs w:val="18"/>
              </w:rPr>
            </w:pPr>
            <w:r w:rsidRPr="009521C9">
              <w:rPr>
                <w:rFonts w:ascii="Lato" w:hAnsi="Lato" w:cs="Arial"/>
                <w:sz w:val="18"/>
                <w:szCs w:val="18"/>
              </w:rPr>
              <w:t>PGW WP wydatkowały w 2024 roku na wypisy/wyrysy około 175 000 zł w skali całego kraju na potrzeby regulowania stanu prawnego nieruchomości Skarbu Państwa.</w:t>
            </w:r>
          </w:p>
          <w:p w14:paraId="40FCCC81" w14:textId="39947C24" w:rsidR="003005A0" w:rsidRPr="009521C9" w:rsidRDefault="003005A0" w:rsidP="00E54DC7">
            <w:pPr>
              <w:spacing w:before="120" w:after="120"/>
              <w:ind w:left="138" w:right="274"/>
              <w:rPr>
                <w:rFonts w:ascii="Lato" w:hAnsi="Lato" w:cs="Arial"/>
                <w:sz w:val="18"/>
                <w:szCs w:val="18"/>
              </w:rPr>
            </w:pPr>
            <w:r w:rsidRPr="009521C9">
              <w:rPr>
                <w:rFonts w:ascii="Lato" w:hAnsi="Lato" w:cs="Arial"/>
                <w:sz w:val="18"/>
                <w:szCs w:val="18"/>
              </w:rPr>
              <w:t>Z danych ustalonych przez PGW WP wynika, że potwierdzenie lub ustalenie reprezentacji Skarbu Państwa dotyczy jeszcze około 200 tys. działek, co może zwiększyć koszty PGW WP w tym zakresie o około 30 mln zł (przyjmując średnio za 1 wypis kwotę 150 zł x 199 619). W związku z powyższym wprowadzenie przedmiotowych zmian należy uznać za zasadne.</w:t>
            </w:r>
          </w:p>
        </w:tc>
        <w:tc>
          <w:tcPr>
            <w:tcW w:w="2835" w:type="dxa"/>
            <w:tcBorders>
              <w:top w:val="single" w:sz="4" w:space="0" w:color="auto"/>
              <w:left w:val="single" w:sz="4" w:space="0" w:color="auto"/>
              <w:right w:val="single" w:sz="4" w:space="0" w:color="auto"/>
            </w:tcBorders>
            <w:shd w:val="clear" w:color="auto" w:fill="FFFFFF"/>
          </w:tcPr>
          <w:p w14:paraId="3D3E38DF" w14:textId="6921F69D" w:rsidR="003005A0" w:rsidRPr="009521C9" w:rsidRDefault="003005A0" w:rsidP="00E54DC7">
            <w:pPr>
              <w:pStyle w:val="Inne0"/>
              <w:shd w:val="clear" w:color="auto" w:fill="auto"/>
              <w:spacing w:before="120" w:after="120"/>
              <w:ind w:left="136" w:right="136"/>
              <w:rPr>
                <w:rFonts w:ascii="Lato" w:eastAsia="Arial" w:hAnsi="Lato" w:cs="Arial"/>
                <w:sz w:val="18"/>
                <w:szCs w:val="18"/>
              </w:rPr>
            </w:pPr>
          </w:p>
        </w:tc>
        <w:tc>
          <w:tcPr>
            <w:tcW w:w="4820" w:type="dxa"/>
            <w:vMerge/>
            <w:tcBorders>
              <w:left w:val="single" w:sz="4" w:space="0" w:color="auto"/>
              <w:right w:val="single" w:sz="4" w:space="0" w:color="auto"/>
            </w:tcBorders>
            <w:shd w:val="clear" w:color="auto" w:fill="FFFFFF"/>
          </w:tcPr>
          <w:p w14:paraId="7CB26B72" w14:textId="1266D543" w:rsidR="003005A0" w:rsidRPr="009521C9" w:rsidRDefault="003005A0" w:rsidP="003005A0">
            <w:pPr>
              <w:pStyle w:val="Inne0"/>
              <w:shd w:val="clear" w:color="auto" w:fill="auto"/>
              <w:spacing w:before="120" w:after="120"/>
              <w:ind w:left="131" w:right="138"/>
              <w:rPr>
                <w:rFonts w:ascii="Lato" w:eastAsia="Arial" w:hAnsi="Lato" w:cs="Arial"/>
                <w:sz w:val="18"/>
                <w:szCs w:val="18"/>
              </w:rPr>
            </w:pPr>
          </w:p>
        </w:tc>
      </w:tr>
      <w:tr w:rsidR="00FA234D" w:rsidRPr="009521C9" w14:paraId="2EAD6CDE" w14:textId="63D0FAD5" w:rsidTr="003005A0">
        <w:trPr>
          <w:trHeight w:val="20"/>
        </w:trPr>
        <w:tc>
          <w:tcPr>
            <w:tcW w:w="709" w:type="dxa"/>
            <w:tcBorders>
              <w:top w:val="single" w:sz="4" w:space="0" w:color="auto"/>
              <w:left w:val="single" w:sz="4" w:space="0" w:color="auto"/>
              <w:bottom w:val="single" w:sz="4" w:space="0" w:color="auto"/>
            </w:tcBorders>
            <w:shd w:val="clear" w:color="auto" w:fill="FFFFFF"/>
          </w:tcPr>
          <w:p w14:paraId="62B32F2E" w14:textId="77777777" w:rsidR="00FA234D" w:rsidRPr="009521C9" w:rsidRDefault="00FA234D" w:rsidP="00B918CF">
            <w:pPr>
              <w:pStyle w:val="Inne0"/>
              <w:numPr>
                <w:ilvl w:val="0"/>
                <w:numId w:val="1"/>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0F25EFAD" w14:textId="0EABED83" w:rsidR="00FA234D" w:rsidRPr="009521C9" w:rsidRDefault="00EA4C87" w:rsidP="00E54DC7">
            <w:pPr>
              <w:pStyle w:val="Inne0"/>
              <w:shd w:val="clear" w:color="auto" w:fill="auto"/>
              <w:spacing w:before="120" w:after="120"/>
              <w:ind w:left="140"/>
              <w:rPr>
                <w:rFonts w:ascii="Lato" w:eastAsia="Arial" w:hAnsi="Lato" w:cs="Arial"/>
                <w:sz w:val="18"/>
                <w:szCs w:val="18"/>
              </w:rPr>
            </w:pPr>
            <w:r w:rsidRPr="009521C9">
              <w:rPr>
                <w:rFonts w:ascii="Lato" w:eastAsia="Arial" w:hAnsi="Lato" w:cs="Arial"/>
                <w:sz w:val="18"/>
                <w:szCs w:val="18"/>
              </w:rPr>
              <w:t>Minister Infrastruktury</w:t>
            </w:r>
          </w:p>
        </w:tc>
        <w:tc>
          <w:tcPr>
            <w:tcW w:w="5812" w:type="dxa"/>
            <w:tcBorders>
              <w:top w:val="single" w:sz="4" w:space="0" w:color="auto"/>
              <w:left w:val="single" w:sz="4" w:space="0" w:color="auto"/>
              <w:bottom w:val="single" w:sz="4" w:space="0" w:color="auto"/>
            </w:tcBorders>
            <w:shd w:val="clear" w:color="auto" w:fill="FFFFFF"/>
          </w:tcPr>
          <w:p w14:paraId="106B36FD" w14:textId="77777777" w:rsidR="00EA4C87" w:rsidRPr="009521C9" w:rsidRDefault="00EA4C87" w:rsidP="00E54DC7">
            <w:pPr>
              <w:spacing w:before="120" w:after="120"/>
              <w:ind w:left="138" w:right="274"/>
              <w:rPr>
                <w:rFonts w:ascii="Lato" w:hAnsi="Lato" w:cs="Arial"/>
                <w:sz w:val="18"/>
                <w:szCs w:val="18"/>
              </w:rPr>
            </w:pPr>
            <w:r w:rsidRPr="009521C9">
              <w:rPr>
                <w:rFonts w:ascii="Lato" w:hAnsi="Lato" w:cs="Arial"/>
                <w:sz w:val="18"/>
                <w:szCs w:val="18"/>
              </w:rPr>
              <w:t>Po analizie przedstawionych wyjaśnień do uwag ujętych pod nr 35 w tabeli uwag załączonej do nowego tekstu ww. projektu ustawy, przekazanego w ramach uzgodnień międzyresortowych, należy wskazać na to, że z treści analizowanego przepisu nie wynika wprost uprawnienie do udostępniania pełnych danych Państwowego zasobu geodezyjnego i kartograficznego (</w:t>
            </w:r>
            <w:proofErr w:type="spellStart"/>
            <w:r w:rsidRPr="009521C9">
              <w:rPr>
                <w:rFonts w:ascii="Lato" w:hAnsi="Lato" w:cs="Arial"/>
                <w:sz w:val="18"/>
                <w:szCs w:val="18"/>
              </w:rPr>
              <w:t>PZGiK</w:t>
            </w:r>
            <w:proofErr w:type="spellEnd"/>
            <w:r w:rsidRPr="009521C9">
              <w:rPr>
                <w:rFonts w:ascii="Lato" w:hAnsi="Lato" w:cs="Arial"/>
                <w:sz w:val="18"/>
                <w:szCs w:val="18"/>
              </w:rPr>
              <w:t>) wszystkim podmiotom, w tym podmiotom infrastruktury krytycznej państwa.</w:t>
            </w:r>
          </w:p>
          <w:p w14:paraId="7C294D71" w14:textId="77777777" w:rsidR="00EA4C87" w:rsidRPr="009521C9" w:rsidRDefault="00EA4C87" w:rsidP="00E54DC7">
            <w:pPr>
              <w:spacing w:before="120" w:after="120"/>
              <w:ind w:left="138" w:right="274"/>
              <w:rPr>
                <w:rFonts w:ascii="Lato" w:hAnsi="Lato" w:cs="Arial"/>
                <w:sz w:val="18"/>
                <w:szCs w:val="18"/>
              </w:rPr>
            </w:pPr>
            <w:r w:rsidRPr="009521C9">
              <w:rPr>
                <w:rFonts w:ascii="Lato" w:hAnsi="Lato" w:cs="Arial"/>
                <w:sz w:val="18"/>
                <w:szCs w:val="18"/>
              </w:rPr>
              <w:t>Ograniczenie w udostępnianiu danych nie dotyczy jedynie:</w:t>
            </w:r>
          </w:p>
          <w:p w14:paraId="578CD778" w14:textId="77777777" w:rsidR="00EA4C87" w:rsidRPr="009521C9" w:rsidRDefault="00EA4C87" w:rsidP="00B918CF">
            <w:pPr>
              <w:pStyle w:val="Akapitzlist"/>
              <w:numPr>
                <w:ilvl w:val="0"/>
                <w:numId w:val="5"/>
              </w:numPr>
              <w:spacing w:before="120" w:after="120"/>
              <w:ind w:left="555" w:right="274"/>
              <w:contextualSpacing w:val="0"/>
              <w:rPr>
                <w:rFonts w:ascii="Lato" w:hAnsi="Lato" w:cs="Arial"/>
                <w:sz w:val="18"/>
                <w:szCs w:val="18"/>
              </w:rPr>
            </w:pPr>
            <w:r w:rsidRPr="009521C9">
              <w:rPr>
                <w:rFonts w:ascii="Lato" w:hAnsi="Lato" w:cs="Arial"/>
                <w:sz w:val="18"/>
                <w:szCs w:val="18"/>
              </w:rPr>
              <w:t>podmiotu, który ustalił teren zamknięty,</w:t>
            </w:r>
          </w:p>
          <w:p w14:paraId="5132F454" w14:textId="77777777" w:rsidR="00EA4C87" w:rsidRPr="009521C9" w:rsidRDefault="00EA4C87" w:rsidP="00B918CF">
            <w:pPr>
              <w:pStyle w:val="Akapitzlist"/>
              <w:numPr>
                <w:ilvl w:val="0"/>
                <w:numId w:val="5"/>
              </w:numPr>
              <w:spacing w:before="120" w:after="120"/>
              <w:ind w:left="555" w:right="274"/>
              <w:contextualSpacing w:val="0"/>
              <w:rPr>
                <w:rFonts w:ascii="Lato" w:hAnsi="Lato" w:cs="Arial"/>
                <w:sz w:val="18"/>
                <w:szCs w:val="18"/>
              </w:rPr>
            </w:pPr>
            <w:r w:rsidRPr="009521C9">
              <w:rPr>
                <w:rFonts w:ascii="Lato" w:hAnsi="Lato" w:cs="Arial"/>
                <w:sz w:val="18"/>
                <w:szCs w:val="18"/>
              </w:rPr>
              <w:t>organów administracji publicznej,</w:t>
            </w:r>
          </w:p>
          <w:p w14:paraId="2AD41D46" w14:textId="77777777" w:rsidR="00EA4C87" w:rsidRPr="009521C9" w:rsidRDefault="00EA4C87" w:rsidP="00B918CF">
            <w:pPr>
              <w:pStyle w:val="Akapitzlist"/>
              <w:numPr>
                <w:ilvl w:val="0"/>
                <w:numId w:val="5"/>
              </w:numPr>
              <w:spacing w:before="120" w:after="120"/>
              <w:ind w:left="555" w:right="274"/>
              <w:contextualSpacing w:val="0"/>
              <w:rPr>
                <w:rFonts w:ascii="Lato" w:hAnsi="Lato" w:cs="Arial"/>
                <w:sz w:val="18"/>
                <w:szCs w:val="18"/>
              </w:rPr>
            </w:pPr>
            <w:r w:rsidRPr="009521C9">
              <w:rPr>
                <w:rFonts w:ascii="Lato" w:hAnsi="Lato" w:cs="Arial"/>
                <w:sz w:val="18"/>
                <w:szCs w:val="18"/>
              </w:rPr>
              <w:t>służb specjalnych,</w:t>
            </w:r>
          </w:p>
          <w:p w14:paraId="2673C958" w14:textId="77777777" w:rsidR="00EA4C87" w:rsidRPr="009521C9" w:rsidRDefault="00EA4C87" w:rsidP="00B918CF">
            <w:pPr>
              <w:pStyle w:val="Akapitzlist"/>
              <w:numPr>
                <w:ilvl w:val="0"/>
                <w:numId w:val="5"/>
              </w:numPr>
              <w:spacing w:before="120" w:after="120"/>
              <w:ind w:left="555" w:right="274"/>
              <w:contextualSpacing w:val="0"/>
              <w:rPr>
                <w:rFonts w:ascii="Lato" w:hAnsi="Lato" w:cs="Arial"/>
                <w:sz w:val="18"/>
                <w:szCs w:val="18"/>
              </w:rPr>
            </w:pPr>
            <w:r w:rsidRPr="009521C9">
              <w:rPr>
                <w:rFonts w:ascii="Lato" w:hAnsi="Lato" w:cs="Arial"/>
                <w:sz w:val="18"/>
                <w:szCs w:val="18"/>
              </w:rPr>
              <w:t>wykonawców prac geodezyjnych zgłoszonych lub realizowanych na zlecenie organu Służby Geodezyjnej i Kartograficznej obejmujących tereny zamknięte.</w:t>
            </w:r>
          </w:p>
          <w:p w14:paraId="42FFF050" w14:textId="77777777" w:rsidR="00EA4C87" w:rsidRPr="009521C9" w:rsidRDefault="00EA4C87" w:rsidP="00E54DC7">
            <w:pPr>
              <w:spacing w:before="120" w:after="120"/>
              <w:ind w:left="138" w:right="274"/>
              <w:rPr>
                <w:rFonts w:ascii="Lato" w:hAnsi="Lato" w:cs="Arial"/>
                <w:sz w:val="18"/>
                <w:szCs w:val="18"/>
              </w:rPr>
            </w:pPr>
            <w:r w:rsidRPr="009521C9">
              <w:rPr>
                <w:rFonts w:ascii="Lato" w:hAnsi="Lato" w:cs="Arial"/>
                <w:sz w:val="18"/>
                <w:szCs w:val="18"/>
              </w:rPr>
              <w:lastRenderedPageBreak/>
              <w:t>W mojej ocenie oznacza to, że dostęp do danych objętych ograniczeniami nie jest gwarantowany w każdym przypadku, lecz wyłącznie w sytuacjach związanych z pracami zgłoszonymi lub realizowanymi na zlecenie Służby Geodezyjnej i Kartograficznej.</w:t>
            </w:r>
          </w:p>
          <w:p w14:paraId="6FB30181" w14:textId="77777777" w:rsidR="00EA4C87" w:rsidRPr="009521C9" w:rsidRDefault="00EA4C87" w:rsidP="00E54DC7">
            <w:pPr>
              <w:spacing w:before="120" w:after="120"/>
              <w:ind w:left="138" w:right="274"/>
              <w:rPr>
                <w:rFonts w:ascii="Lato" w:hAnsi="Lato" w:cs="Arial"/>
                <w:sz w:val="18"/>
                <w:szCs w:val="18"/>
              </w:rPr>
            </w:pPr>
            <w:r w:rsidRPr="009521C9">
              <w:rPr>
                <w:rFonts w:ascii="Lato" w:hAnsi="Lato" w:cs="Arial"/>
                <w:sz w:val="18"/>
                <w:szCs w:val="18"/>
              </w:rPr>
              <w:t>W szczególności nie obejmuje to pełnego katalogu prac wykonywanych przez Państwową Agencję Żeglugi Powietrznej (PAŻP), które wymagają dostępu do danych geodezyjnych.</w:t>
            </w:r>
          </w:p>
          <w:p w14:paraId="414DA6E7" w14:textId="77777777" w:rsidR="00EA4C87" w:rsidRPr="009521C9" w:rsidRDefault="00EA4C87" w:rsidP="00E54DC7">
            <w:pPr>
              <w:spacing w:before="120" w:after="120"/>
              <w:ind w:left="138" w:right="274"/>
              <w:rPr>
                <w:rFonts w:ascii="Lato" w:hAnsi="Lato" w:cs="Arial"/>
                <w:sz w:val="18"/>
                <w:szCs w:val="18"/>
              </w:rPr>
            </w:pPr>
            <w:r w:rsidRPr="009521C9">
              <w:rPr>
                <w:rFonts w:ascii="Lato" w:hAnsi="Lato" w:cs="Arial"/>
                <w:sz w:val="18"/>
                <w:szCs w:val="18"/>
              </w:rPr>
              <w:t>W związku z powyższym wskazuję na celowość uzupełnienia pkt 3 o zapis:</w:t>
            </w:r>
          </w:p>
          <w:p w14:paraId="5B08BB44" w14:textId="77777777" w:rsidR="00EA4C87" w:rsidRPr="009521C9" w:rsidRDefault="00EA4C87" w:rsidP="00E54DC7">
            <w:pPr>
              <w:spacing w:before="120" w:after="120"/>
              <w:ind w:left="138" w:right="274"/>
              <w:rPr>
                <w:rFonts w:ascii="Lato" w:hAnsi="Lato" w:cs="Arial"/>
                <w:sz w:val="18"/>
                <w:szCs w:val="18"/>
              </w:rPr>
            </w:pPr>
            <w:r w:rsidRPr="009521C9">
              <w:rPr>
                <w:rFonts w:ascii="Lato" w:hAnsi="Lato" w:cs="Arial"/>
                <w:sz w:val="18"/>
                <w:szCs w:val="18"/>
              </w:rPr>
              <w:t>„...jak również udostępniania ww. danych podmiotom infrastruktury krytycznej państwa.”.</w:t>
            </w:r>
          </w:p>
          <w:p w14:paraId="79050740" w14:textId="77777777" w:rsidR="00EA4C87" w:rsidRPr="009521C9" w:rsidRDefault="00EA4C87" w:rsidP="00E54DC7">
            <w:pPr>
              <w:spacing w:before="120" w:after="120"/>
              <w:ind w:left="138" w:right="274"/>
              <w:rPr>
                <w:rFonts w:ascii="Lato" w:hAnsi="Lato" w:cs="Arial"/>
                <w:sz w:val="18"/>
                <w:szCs w:val="18"/>
              </w:rPr>
            </w:pPr>
            <w:r w:rsidRPr="009521C9">
              <w:rPr>
                <w:rFonts w:ascii="Lato" w:hAnsi="Lato" w:cs="Arial"/>
                <w:sz w:val="18"/>
                <w:szCs w:val="18"/>
              </w:rPr>
              <w:t>Dodatkowo należałoby wskazać na konieczność doprecyzowania następujących aspektów:</w:t>
            </w:r>
          </w:p>
          <w:p w14:paraId="50F42380" w14:textId="77777777" w:rsidR="00EA4C87" w:rsidRPr="009521C9" w:rsidRDefault="00EA4C87" w:rsidP="003005A0">
            <w:pPr>
              <w:spacing w:before="120" w:after="120"/>
              <w:ind w:left="414" w:right="274" w:hanging="276"/>
              <w:rPr>
                <w:rFonts w:ascii="Lato" w:hAnsi="Lato" w:cs="Arial"/>
                <w:sz w:val="18"/>
                <w:szCs w:val="18"/>
              </w:rPr>
            </w:pPr>
            <w:r w:rsidRPr="009521C9">
              <w:rPr>
                <w:rFonts w:ascii="Lato" w:hAnsi="Lato" w:cs="Arial"/>
                <w:sz w:val="18"/>
                <w:szCs w:val="18"/>
              </w:rPr>
              <w:t>1)</w:t>
            </w:r>
            <w:r w:rsidRPr="009521C9">
              <w:rPr>
                <w:rFonts w:ascii="Lato" w:hAnsi="Lato" w:cs="Arial"/>
                <w:sz w:val="18"/>
                <w:szCs w:val="18"/>
              </w:rPr>
              <w:tab/>
              <w:t xml:space="preserve">czy wprowadzenie ograniczenia w upublicznianiu danych będzie wiązało się z obowiązkiem naliczania opłat z tytułu zgłoszenia wniosku o materiały </w:t>
            </w:r>
            <w:proofErr w:type="spellStart"/>
            <w:r w:rsidRPr="009521C9">
              <w:rPr>
                <w:rFonts w:ascii="Lato" w:hAnsi="Lato" w:cs="Arial"/>
                <w:sz w:val="18"/>
                <w:szCs w:val="18"/>
              </w:rPr>
              <w:t>PZGiK</w:t>
            </w:r>
            <w:proofErr w:type="spellEnd"/>
            <w:r w:rsidRPr="009521C9">
              <w:rPr>
                <w:rFonts w:ascii="Lato" w:hAnsi="Lato" w:cs="Arial"/>
                <w:sz w:val="18"/>
                <w:szCs w:val="18"/>
              </w:rPr>
              <w:t>?</w:t>
            </w:r>
          </w:p>
          <w:p w14:paraId="3D686BE8" w14:textId="4102CC14" w:rsidR="00FA234D" w:rsidRPr="009521C9" w:rsidRDefault="00EA4C87" w:rsidP="003005A0">
            <w:pPr>
              <w:pStyle w:val="Inne0"/>
              <w:shd w:val="clear" w:color="auto" w:fill="auto"/>
              <w:spacing w:before="120" w:after="120"/>
              <w:ind w:left="414" w:right="274" w:hanging="276"/>
              <w:rPr>
                <w:rFonts w:ascii="Lato" w:eastAsia="Arial" w:hAnsi="Lato" w:cs="Arial"/>
                <w:sz w:val="18"/>
                <w:szCs w:val="18"/>
              </w:rPr>
            </w:pPr>
            <w:r w:rsidRPr="009521C9">
              <w:rPr>
                <w:rFonts w:ascii="Lato" w:hAnsi="Lato" w:cs="Arial"/>
                <w:sz w:val="18"/>
                <w:szCs w:val="18"/>
              </w:rPr>
              <w:t>2)</w:t>
            </w:r>
            <w:r w:rsidRPr="009521C9">
              <w:rPr>
                <w:rFonts w:ascii="Lato" w:hAnsi="Lato" w:cs="Arial"/>
                <w:sz w:val="18"/>
                <w:szCs w:val="18"/>
              </w:rPr>
              <w:tab/>
              <w:t>czy zostały przygotowane rozwiązania techniczne i proceduralne zapewniające ciągłość udostępniania danych po wejściu w życie nowych przepisów oraz czy zostaną one przedstawione podmiotom o charakterze infrastruktury krytycznej państwa, jak np. PAŻP?</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6A0075A0" w14:textId="49A48BE4" w:rsidR="00FA234D" w:rsidRPr="009521C9" w:rsidRDefault="00FA234D" w:rsidP="00E54DC7">
            <w:pPr>
              <w:pStyle w:val="Inne0"/>
              <w:shd w:val="clear" w:color="auto" w:fill="auto"/>
              <w:spacing w:before="120" w:after="120"/>
              <w:ind w:left="136"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35C12587" w14:textId="4E8BF688" w:rsidR="003005A0" w:rsidRPr="009521C9" w:rsidRDefault="003005A0" w:rsidP="003005A0">
            <w:pPr>
              <w:pStyle w:val="Inne0"/>
              <w:shd w:val="clear" w:color="auto" w:fill="auto"/>
              <w:spacing w:before="120" w:after="120"/>
              <w:ind w:left="131" w:right="138"/>
              <w:rPr>
                <w:rFonts w:ascii="Lato" w:eastAsia="Arial" w:hAnsi="Lato" w:cs="Arial"/>
                <w:sz w:val="18"/>
                <w:szCs w:val="18"/>
              </w:rPr>
            </w:pPr>
            <w:r w:rsidRPr="009521C9">
              <w:rPr>
                <w:rFonts w:ascii="Lato" w:eastAsia="Arial" w:hAnsi="Lato" w:cs="Arial"/>
                <w:sz w:val="18"/>
                <w:szCs w:val="18"/>
              </w:rPr>
              <w:t xml:space="preserve">Zgłoszona uwaga dotyczy udostępniania danych państwowego zasobu geodezyjnego i kartograficznego </w:t>
            </w:r>
            <w:r w:rsidR="00F9021D">
              <w:rPr>
                <w:rFonts w:ascii="Lato" w:eastAsia="Arial" w:hAnsi="Lato" w:cs="Arial"/>
                <w:sz w:val="18"/>
                <w:szCs w:val="18"/>
              </w:rPr>
              <w:br/>
            </w:r>
            <w:r w:rsidRPr="009521C9">
              <w:rPr>
                <w:rFonts w:ascii="Lato" w:eastAsia="Arial" w:hAnsi="Lato" w:cs="Arial"/>
                <w:sz w:val="18"/>
                <w:szCs w:val="18"/>
              </w:rPr>
              <w:t>i jest poza zakresem prac Komitetu do spraw Cyfryzacji.</w:t>
            </w:r>
          </w:p>
          <w:p w14:paraId="70D02D3F" w14:textId="77777777" w:rsidR="003005A0" w:rsidRPr="009521C9" w:rsidRDefault="003005A0" w:rsidP="003005A0">
            <w:pPr>
              <w:pStyle w:val="Inne0"/>
              <w:spacing w:before="120" w:after="120"/>
              <w:ind w:left="131" w:right="138"/>
              <w:rPr>
                <w:rFonts w:ascii="Lato" w:eastAsia="Arial" w:hAnsi="Lato" w:cs="Arial"/>
                <w:sz w:val="18"/>
                <w:szCs w:val="18"/>
              </w:rPr>
            </w:pPr>
            <w:r w:rsidRPr="009521C9">
              <w:rPr>
                <w:rFonts w:ascii="Lato" w:eastAsia="Arial" w:hAnsi="Lato" w:cs="Arial"/>
                <w:sz w:val="18"/>
                <w:szCs w:val="18"/>
              </w:rPr>
              <w:t xml:space="preserve">Ministerstwo Rozwoju i Technologii podtrzymuje stanowisko zawarte w lp. 35 tabeli z uzgodnień międzyresortowych przesłaną do Ministerstwa Infrastruktury przy piśmie z dnia 17 kwietnia 2026 r. </w:t>
            </w:r>
          </w:p>
          <w:p w14:paraId="1B136D29" w14:textId="69F1DBBD" w:rsidR="003005A0" w:rsidRPr="009521C9" w:rsidRDefault="003005A0" w:rsidP="003005A0">
            <w:pPr>
              <w:pStyle w:val="Inne0"/>
              <w:spacing w:before="120" w:after="120"/>
              <w:ind w:left="131" w:right="138"/>
              <w:rPr>
                <w:rFonts w:ascii="Lato" w:eastAsia="Arial" w:hAnsi="Lato" w:cs="Arial"/>
                <w:sz w:val="18"/>
                <w:szCs w:val="18"/>
              </w:rPr>
            </w:pPr>
            <w:r w:rsidRPr="009521C9">
              <w:rPr>
                <w:rFonts w:ascii="Lato" w:eastAsia="Arial" w:hAnsi="Lato" w:cs="Arial"/>
                <w:sz w:val="18"/>
                <w:szCs w:val="18"/>
              </w:rPr>
              <w:t xml:space="preserve">Projektowany art. 4a ustawy – Prawo geodezyjne </w:t>
            </w:r>
            <w:r w:rsidR="00F9021D">
              <w:rPr>
                <w:rFonts w:ascii="Lato" w:eastAsia="Arial" w:hAnsi="Lato" w:cs="Arial"/>
                <w:sz w:val="18"/>
                <w:szCs w:val="18"/>
              </w:rPr>
              <w:br/>
            </w:r>
            <w:r w:rsidRPr="009521C9">
              <w:rPr>
                <w:rFonts w:ascii="Lato" w:eastAsia="Arial" w:hAnsi="Lato" w:cs="Arial"/>
                <w:sz w:val="18"/>
                <w:szCs w:val="18"/>
              </w:rPr>
              <w:t xml:space="preserve">i kartograficzne w sposób jednoznaczny stanowi </w:t>
            </w:r>
            <w:r w:rsidR="00F9021D">
              <w:rPr>
                <w:rFonts w:ascii="Lato" w:eastAsia="Arial" w:hAnsi="Lato" w:cs="Arial"/>
                <w:sz w:val="18"/>
                <w:szCs w:val="18"/>
              </w:rPr>
              <w:br/>
            </w:r>
            <w:r w:rsidRPr="009521C9">
              <w:rPr>
                <w:rFonts w:ascii="Lato" w:eastAsia="Arial" w:hAnsi="Lato" w:cs="Arial"/>
                <w:sz w:val="18"/>
                <w:szCs w:val="18"/>
              </w:rPr>
              <w:t xml:space="preserve">o nakładaniu ograniczeń w </w:t>
            </w:r>
            <w:r w:rsidRPr="009521C9">
              <w:rPr>
                <w:rFonts w:ascii="Lato" w:eastAsia="Arial" w:hAnsi="Lato" w:cs="Arial"/>
                <w:b/>
                <w:bCs/>
                <w:sz w:val="18"/>
                <w:szCs w:val="18"/>
                <w:u w:val="single"/>
              </w:rPr>
              <w:t>upublicznianiu</w:t>
            </w:r>
            <w:r w:rsidRPr="009521C9">
              <w:rPr>
                <w:rFonts w:ascii="Lato" w:eastAsia="Arial" w:hAnsi="Lato" w:cs="Arial"/>
                <w:b/>
                <w:bCs/>
                <w:sz w:val="18"/>
                <w:szCs w:val="18"/>
              </w:rPr>
              <w:t xml:space="preserve"> </w:t>
            </w:r>
            <w:r w:rsidRPr="009521C9">
              <w:rPr>
                <w:rFonts w:ascii="Lato" w:eastAsia="Arial" w:hAnsi="Lato" w:cs="Arial"/>
                <w:b/>
                <w:bCs/>
                <w:sz w:val="18"/>
                <w:szCs w:val="18"/>
                <w:u w:val="single"/>
              </w:rPr>
              <w:t xml:space="preserve">danych </w:t>
            </w:r>
            <w:r w:rsidRPr="009521C9">
              <w:rPr>
                <w:rFonts w:ascii="Lato" w:eastAsia="Arial" w:hAnsi="Lato" w:cs="Arial"/>
                <w:sz w:val="18"/>
                <w:szCs w:val="18"/>
              </w:rPr>
              <w:t>państwowego zasobu geodezyjnego i kartograficznego</w:t>
            </w:r>
            <w:r w:rsidRPr="009521C9">
              <w:rPr>
                <w:rFonts w:ascii="Lato" w:eastAsia="Arial" w:hAnsi="Lato" w:cs="Arial"/>
                <w:b/>
                <w:bCs/>
                <w:sz w:val="18"/>
                <w:szCs w:val="18"/>
              </w:rPr>
              <w:t xml:space="preserve">, </w:t>
            </w:r>
            <w:r w:rsidRPr="009521C9">
              <w:rPr>
                <w:rFonts w:ascii="Lato" w:eastAsia="Arial" w:hAnsi="Lato" w:cs="Arial"/>
                <w:sz w:val="18"/>
                <w:szCs w:val="18"/>
              </w:rPr>
              <w:t>czego nie należy mylić z</w:t>
            </w:r>
            <w:r w:rsidRPr="009521C9">
              <w:rPr>
                <w:rFonts w:ascii="Lato" w:eastAsia="Arial" w:hAnsi="Lato" w:cs="Arial"/>
                <w:b/>
                <w:bCs/>
                <w:sz w:val="18"/>
                <w:szCs w:val="18"/>
              </w:rPr>
              <w:t xml:space="preserve"> </w:t>
            </w:r>
            <w:r w:rsidRPr="009521C9">
              <w:rPr>
                <w:rFonts w:ascii="Lato" w:eastAsia="Arial" w:hAnsi="Lato" w:cs="Arial"/>
                <w:b/>
                <w:bCs/>
                <w:sz w:val="18"/>
                <w:szCs w:val="18"/>
                <w:u w:val="single"/>
              </w:rPr>
              <w:t>udostępnianiem danych</w:t>
            </w:r>
            <w:r w:rsidRPr="009521C9">
              <w:rPr>
                <w:rFonts w:ascii="Lato" w:eastAsia="Arial" w:hAnsi="Lato" w:cs="Arial"/>
                <w:sz w:val="18"/>
                <w:szCs w:val="18"/>
              </w:rPr>
              <w:t xml:space="preserve"> na podstawie wniosku, zgłoszenia prac geodezyjnych lub jego uzupełnienia oraz w przypadku prac realizowanych na zlecenie Służby Geodezyjnej i Kartograficznej. Udostępnianie danych nie podlega ograniczeniu. Państwowa Agencja Żeglugi Powietrznej (PAŻP) </w:t>
            </w:r>
            <w:r w:rsidRPr="009521C9">
              <w:rPr>
                <w:rFonts w:ascii="Lato" w:eastAsia="Arial" w:hAnsi="Lato" w:cs="Arial"/>
                <w:sz w:val="18"/>
                <w:szCs w:val="18"/>
              </w:rPr>
              <w:lastRenderedPageBreak/>
              <w:t xml:space="preserve">pozyskuje dane państwowego zasobu geodezyjnego </w:t>
            </w:r>
            <w:r w:rsidR="00F9021D">
              <w:rPr>
                <w:rFonts w:ascii="Lato" w:eastAsia="Arial" w:hAnsi="Lato" w:cs="Arial"/>
                <w:sz w:val="18"/>
                <w:szCs w:val="18"/>
              </w:rPr>
              <w:br/>
            </w:r>
            <w:r w:rsidRPr="009521C9">
              <w:rPr>
                <w:rFonts w:ascii="Lato" w:eastAsia="Arial" w:hAnsi="Lato" w:cs="Arial"/>
                <w:sz w:val="18"/>
                <w:szCs w:val="18"/>
              </w:rPr>
              <w:t xml:space="preserve">i kartograficznego na podstawie składanych wniosków, co mieści się w zakres ww. udostępnienia. </w:t>
            </w:r>
          </w:p>
          <w:p w14:paraId="6333B87C" w14:textId="7E87CEC1" w:rsidR="003005A0" w:rsidRPr="009521C9" w:rsidRDefault="003005A0" w:rsidP="003005A0">
            <w:pPr>
              <w:pStyle w:val="Inne0"/>
              <w:spacing w:before="120" w:after="120"/>
              <w:ind w:left="131" w:right="138"/>
              <w:rPr>
                <w:rFonts w:ascii="Lato" w:eastAsia="Arial" w:hAnsi="Lato" w:cs="Arial"/>
                <w:sz w:val="18"/>
                <w:szCs w:val="18"/>
              </w:rPr>
            </w:pPr>
            <w:r w:rsidRPr="009521C9">
              <w:rPr>
                <w:rFonts w:ascii="Lato" w:eastAsia="Arial" w:hAnsi="Lato" w:cs="Arial"/>
                <w:sz w:val="18"/>
                <w:szCs w:val="18"/>
              </w:rPr>
              <w:t xml:space="preserve">Nie jest zrozumiałe na podstawie jakich przesłanek Ministerstwo Infrastruktury wysnuwa, że ograniczenie </w:t>
            </w:r>
            <w:r w:rsidR="00F9021D">
              <w:rPr>
                <w:rFonts w:ascii="Lato" w:eastAsia="Arial" w:hAnsi="Lato" w:cs="Arial"/>
                <w:sz w:val="18"/>
                <w:szCs w:val="18"/>
              </w:rPr>
              <w:br/>
            </w:r>
            <w:r w:rsidRPr="009521C9">
              <w:rPr>
                <w:rFonts w:ascii="Lato" w:eastAsia="Arial" w:hAnsi="Lato" w:cs="Arial"/>
                <w:sz w:val="18"/>
                <w:szCs w:val="18"/>
              </w:rPr>
              <w:t xml:space="preserve">w udostępnieniu danych obejmie PAŻP. </w:t>
            </w:r>
          </w:p>
        </w:tc>
      </w:tr>
      <w:tr w:rsidR="00FA234D" w:rsidRPr="009521C9" w14:paraId="25873628" w14:textId="52395798" w:rsidTr="003005A0">
        <w:trPr>
          <w:trHeight w:val="20"/>
        </w:trPr>
        <w:tc>
          <w:tcPr>
            <w:tcW w:w="709" w:type="dxa"/>
            <w:tcBorders>
              <w:top w:val="single" w:sz="4" w:space="0" w:color="auto"/>
              <w:left w:val="single" w:sz="4" w:space="0" w:color="auto"/>
              <w:bottom w:val="single" w:sz="4" w:space="0" w:color="auto"/>
            </w:tcBorders>
            <w:shd w:val="clear" w:color="auto" w:fill="FFFFFF"/>
          </w:tcPr>
          <w:p w14:paraId="06F51D43" w14:textId="77777777" w:rsidR="00FA234D" w:rsidRPr="009521C9" w:rsidRDefault="00FA234D" w:rsidP="00B918CF">
            <w:pPr>
              <w:pStyle w:val="Inne0"/>
              <w:numPr>
                <w:ilvl w:val="0"/>
                <w:numId w:val="1"/>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04704219" w14:textId="15044447" w:rsidR="00FA234D" w:rsidRPr="009521C9" w:rsidRDefault="00EA4C87" w:rsidP="00E54DC7">
            <w:pPr>
              <w:pStyle w:val="Inne0"/>
              <w:shd w:val="clear" w:color="auto" w:fill="auto"/>
              <w:spacing w:before="120" w:after="120"/>
              <w:ind w:left="140"/>
              <w:rPr>
                <w:rFonts w:ascii="Lato" w:eastAsia="Arial" w:hAnsi="Lato" w:cs="Arial"/>
                <w:sz w:val="18"/>
                <w:szCs w:val="18"/>
              </w:rPr>
            </w:pPr>
            <w:r w:rsidRPr="009521C9">
              <w:rPr>
                <w:rFonts w:ascii="Lato" w:eastAsia="Arial" w:hAnsi="Lato" w:cs="Arial"/>
                <w:sz w:val="18"/>
                <w:szCs w:val="18"/>
              </w:rPr>
              <w:t>Minister Infrastruktury</w:t>
            </w:r>
          </w:p>
        </w:tc>
        <w:tc>
          <w:tcPr>
            <w:tcW w:w="5812" w:type="dxa"/>
            <w:tcBorders>
              <w:top w:val="single" w:sz="4" w:space="0" w:color="auto"/>
              <w:left w:val="single" w:sz="4" w:space="0" w:color="auto"/>
              <w:bottom w:val="single" w:sz="4" w:space="0" w:color="auto"/>
            </w:tcBorders>
            <w:shd w:val="clear" w:color="auto" w:fill="FFFFFF"/>
          </w:tcPr>
          <w:p w14:paraId="27CCFE6B" w14:textId="1C42195E" w:rsidR="00EA4C87" w:rsidRPr="009521C9" w:rsidRDefault="00EA4C87" w:rsidP="00E54DC7">
            <w:pPr>
              <w:pStyle w:val="Inne0"/>
              <w:spacing w:before="120" w:after="120"/>
              <w:ind w:left="138" w:right="274"/>
              <w:rPr>
                <w:rFonts w:ascii="Lato" w:eastAsia="Arial" w:hAnsi="Lato" w:cs="Arial"/>
                <w:sz w:val="18"/>
                <w:szCs w:val="18"/>
              </w:rPr>
            </w:pPr>
            <w:r w:rsidRPr="009521C9">
              <w:rPr>
                <w:rFonts w:ascii="Lato" w:eastAsia="Arial" w:hAnsi="Lato" w:cs="Arial"/>
                <w:sz w:val="18"/>
                <w:szCs w:val="18"/>
              </w:rPr>
              <w:t>W art. 1 pkt 4 projektu ustawy (art. 4a ust. 6) nie wskazano podmiotów prowadzących mapy dla terenów zamkniętych. Spowoduje to opóźnienie w realizacji decyzji, o których mowa w ust. 1, 2 i 4. Należy zwrócić uwagę, że starosta prowadzący bazy danych, jako organ Służby Geodezyjnej i Kartograficznej (SGK), otrzyma decyzję niezwłocznie. Natomiast podmioty prowadzące bazy (mapy) dla terenów zamkniętych otrzymają taką informację w sposób pośredni. W związku z powyższym proponuję nowe brzmienie ust. 6:</w:t>
            </w:r>
          </w:p>
          <w:p w14:paraId="61A479BE" w14:textId="7E490C02" w:rsidR="00FA234D" w:rsidRPr="009521C9" w:rsidRDefault="00EA4C87" w:rsidP="00E54DC7">
            <w:pPr>
              <w:pStyle w:val="Inne0"/>
              <w:shd w:val="clear" w:color="auto" w:fill="auto"/>
              <w:spacing w:before="120" w:after="120"/>
              <w:ind w:left="138" w:right="274"/>
              <w:rPr>
                <w:rFonts w:ascii="Lato" w:eastAsia="Arial" w:hAnsi="Lato" w:cs="Arial"/>
                <w:sz w:val="18"/>
                <w:szCs w:val="18"/>
              </w:rPr>
            </w:pPr>
            <w:r w:rsidRPr="009521C9">
              <w:rPr>
                <w:rFonts w:ascii="Lato" w:eastAsia="Arial" w:hAnsi="Lato" w:cs="Arial"/>
                <w:sz w:val="18"/>
                <w:szCs w:val="18"/>
              </w:rPr>
              <w:t>„6. Podmioty, o których mowa w ust. 1 i 2, przekazują niezwłocznie decyzje, o których mowa w ust. 1, 2 i 4, do Głównego Geodety Kraju, właściwych organów Służby Geodezyjnej i Kartograficznej odpowiedzialnych za prowadzenie baz danych, o których mowa w art. 4 ust. 1a pkt 3, 8, 11 i 12, do właściwych ministrów i kierowników urzędów centralnych, przez których zostały ustalone tereny zamknięte, na których wprowadzone zostały ograniczenia w upublicznianiu danych oraz do podmiotów prowadzących mapy dla terenów zamkniętych.”.</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DDF64DB" w14:textId="3E304667" w:rsidR="00FA234D" w:rsidRPr="009521C9" w:rsidRDefault="00FA234D" w:rsidP="00E54DC7">
            <w:pPr>
              <w:pStyle w:val="Inne0"/>
              <w:shd w:val="clear" w:color="auto" w:fill="auto"/>
              <w:spacing w:before="120" w:after="120"/>
              <w:ind w:left="136"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703EE6BF" w14:textId="3B13ADF0" w:rsidR="00FA234D" w:rsidRPr="009521C9" w:rsidRDefault="003005A0" w:rsidP="003D5120">
            <w:pPr>
              <w:pStyle w:val="Inne0"/>
              <w:shd w:val="clear" w:color="auto" w:fill="auto"/>
              <w:spacing w:before="120" w:after="120"/>
              <w:ind w:left="131" w:right="138"/>
              <w:rPr>
                <w:rFonts w:ascii="Lato" w:eastAsia="Arial" w:hAnsi="Lato" w:cs="Arial"/>
                <w:sz w:val="18"/>
                <w:szCs w:val="18"/>
              </w:rPr>
            </w:pPr>
            <w:r w:rsidRPr="009521C9">
              <w:rPr>
                <w:rFonts w:ascii="Lato" w:eastAsia="Arial" w:hAnsi="Lato" w:cs="Arial"/>
                <w:sz w:val="18"/>
                <w:szCs w:val="18"/>
              </w:rPr>
              <w:t>Zgłoszona uwaga jest poza zakresem prac Komitetu do spraw Cyfryzacji.</w:t>
            </w:r>
          </w:p>
          <w:p w14:paraId="7CE2474B" w14:textId="2887248E" w:rsidR="003D5120" w:rsidRPr="009521C9" w:rsidRDefault="003D5120" w:rsidP="003D5120">
            <w:pPr>
              <w:pStyle w:val="Inne0"/>
              <w:shd w:val="clear" w:color="auto" w:fill="auto"/>
              <w:spacing w:before="120" w:after="120"/>
              <w:ind w:left="131" w:right="138"/>
              <w:rPr>
                <w:rFonts w:ascii="Lato" w:eastAsia="Arial" w:hAnsi="Lato" w:cs="Arial"/>
                <w:sz w:val="18"/>
                <w:szCs w:val="18"/>
              </w:rPr>
            </w:pPr>
            <w:r w:rsidRPr="009521C9">
              <w:rPr>
                <w:rFonts w:ascii="Lato" w:eastAsia="Arial" w:hAnsi="Lato" w:cs="Arial"/>
                <w:sz w:val="18"/>
                <w:szCs w:val="18"/>
              </w:rPr>
              <w:t xml:space="preserve">Uwaga nie została uwzględniona. To podmiot, który wydał decyzję o ustaleniu terenu zamkniętego powinien być informowany o wprowadzeniu ograniczeń na tym terenie, ponieważ to ten podmiot, zgodnie z przepisami art. 4 ust. 2 ustawy z dnia 17 maja 1989 r. – Prawo geodezyjne i kartograficzne ma obowiązek sporządzać </w:t>
            </w:r>
            <w:r w:rsidR="00A20D87">
              <w:rPr>
                <w:rFonts w:ascii="Lato" w:eastAsia="Arial" w:hAnsi="Lato" w:cs="Arial"/>
                <w:sz w:val="18"/>
                <w:szCs w:val="18"/>
              </w:rPr>
              <w:br/>
            </w:r>
            <w:r w:rsidRPr="009521C9">
              <w:rPr>
                <w:rFonts w:ascii="Lato" w:eastAsia="Arial" w:hAnsi="Lato" w:cs="Arial"/>
                <w:sz w:val="18"/>
                <w:szCs w:val="18"/>
              </w:rPr>
              <w:t xml:space="preserve">i aktualizować mapy dla terenów zamkniętych. Ponadto organy Służby Geodezyjnej i Kartograficznej nie są informowane o powierzeniu wykonywania ww. obowiązków innym podmiotom, w związku z czym proponowane przekazywanie decyzji o ustanowieniu ograniczeń w upublicznianiu danych </w:t>
            </w:r>
            <w:r w:rsidRPr="009521C9">
              <w:rPr>
                <w:rFonts w:ascii="Lato" w:eastAsia="Arial" w:hAnsi="Lato" w:cs="Arial"/>
                <w:i/>
                <w:iCs/>
                <w:sz w:val="18"/>
                <w:szCs w:val="18"/>
              </w:rPr>
              <w:t>„podmiotom prowadzącym mapy dla terenów zamkniętych”</w:t>
            </w:r>
            <w:r w:rsidRPr="009521C9">
              <w:rPr>
                <w:rFonts w:ascii="Lato" w:eastAsia="Arial" w:hAnsi="Lato" w:cs="Arial"/>
                <w:sz w:val="18"/>
                <w:szCs w:val="18"/>
              </w:rPr>
              <w:t xml:space="preserve"> nie może być prawidłowo realizowany.</w:t>
            </w:r>
          </w:p>
        </w:tc>
      </w:tr>
      <w:tr w:rsidR="00FA234D" w:rsidRPr="009521C9" w14:paraId="52D8D54F" w14:textId="0FD609BA" w:rsidTr="003005A0">
        <w:trPr>
          <w:trHeight w:val="20"/>
        </w:trPr>
        <w:tc>
          <w:tcPr>
            <w:tcW w:w="709" w:type="dxa"/>
            <w:tcBorders>
              <w:top w:val="single" w:sz="4" w:space="0" w:color="auto"/>
              <w:left w:val="single" w:sz="4" w:space="0" w:color="auto"/>
              <w:bottom w:val="single" w:sz="4" w:space="0" w:color="auto"/>
            </w:tcBorders>
            <w:shd w:val="clear" w:color="auto" w:fill="FFFFFF"/>
          </w:tcPr>
          <w:p w14:paraId="4F356955" w14:textId="77777777" w:rsidR="00FA234D" w:rsidRPr="009521C9" w:rsidRDefault="00FA234D" w:rsidP="00B918CF">
            <w:pPr>
              <w:pStyle w:val="Inne0"/>
              <w:numPr>
                <w:ilvl w:val="0"/>
                <w:numId w:val="1"/>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4F16C2B0" w14:textId="2B5D4649" w:rsidR="00FA234D" w:rsidRPr="009521C9" w:rsidRDefault="00EA4C87" w:rsidP="00E54DC7">
            <w:pPr>
              <w:pStyle w:val="Inne0"/>
              <w:shd w:val="clear" w:color="auto" w:fill="auto"/>
              <w:spacing w:before="120" w:after="120"/>
              <w:ind w:left="140"/>
              <w:rPr>
                <w:rFonts w:ascii="Lato" w:eastAsia="Arial" w:hAnsi="Lato" w:cs="Arial"/>
                <w:sz w:val="18"/>
                <w:szCs w:val="18"/>
              </w:rPr>
            </w:pPr>
            <w:r w:rsidRPr="009521C9">
              <w:rPr>
                <w:rFonts w:ascii="Lato" w:eastAsia="Arial" w:hAnsi="Lato" w:cs="Arial"/>
                <w:sz w:val="18"/>
                <w:szCs w:val="18"/>
              </w:rPr>
              <w:t>Minister Infrastruktury</w:t>
            </w:r>
          </w:p>
        </w:tc>
        <w:tc>
          <w:tcPr>
            <w:tcW w:w="5812" w:type="dxa"/>
            <w:tcBorders>
              <w:top w:val="single" w:sz="4" w:space="0" w:color="auto"/>
              <w:left w:val="single" w:sz="4" w:space="0" w:color="auto"/>
              <w:bottom w:val="single" w:sz="4" w:space="0" w:color="auto"/>
            </w:tcBorders>
            <w:shd w:val="clear" w:color="auto" w:fill="FFFFFF"/>
          </w:tcPr>
          <w:p w14:paraId="2CC69A15" w14:textId="59E11DDB" w:rsidR="00EA4C87" w:rsidRPr="009521C9" w:rsidRDefault="00EA4C87" w:rsidP="00E54DC7">
            <w:pPr>
              <w:pStyle w:val="Inne0"/>
              <w:spacing w:before="120" w:after="120"/>
              <w:ind w:left="138" w:right="274"/>
              <w:rPr>
                <w:rFonts w:ascii="Lato" w:eastAsia="Arial" w:hAnsi="Lato" w:cs="Arial"/>
                <w:sz w:val="18"/>
                <w:szCs w:val="18"/>
              </w:rPr>
            </w:pPr>
            <w:r w:rsidRPr="009521C9">
              <w:rPr>
                <w:rFonts w:ascii="Lato" w:eastAsia="Arial" w:hAnsi="Lato" w:cs="Arial"/>
                <w:sz w:val="18"/>
                <w:szCs w:val="18"/>
              </w:rPr>
              <w:t xml:space="preserve">W art. 1 pkt 4 projektu ustawy (art. 4a ust. 9) pominięto podmioty prowadzące mapy dla terenów zamkniętych. Tym samym ograniczenia wprowadzone decyzją nie zostaną wykonane na </w:t>
            </w:r>
            <w:r w:rsidRPr="009521C9">
              <w:rPr>
                <w:rFonts w:ascii="Lato" w:eastAsia="Arial" w:hAnsi="Lato" w:cs="Arial"/>
                <w:sz w:val="18"/>
                <w:szCs w:val="18"/>
              </w:rPr>
              <w:lastRenderedPageBreak/>
              <w:t>terenach zamkniętych. W związku z powyższym proponuję nowe brzmienie ust. 9:</w:t>
            </w:r>
          </w:p>
          <w:p w14:paraId="3737A77D" w14:textId="5A11D1FF" w:rsidR="00FA234D" w:rsidRPr="009521C9" w:rsidRDefault="00EA4C87" w:rsidP="00E54DC7">
            <w:pPr>
              <w:pStyle w:val="Inne0"/>
              <w:shd w:val="clear" w:color="auto" w:fill="auto"/>
              <w:spacing w:before="120" w:after="120"/>
              <w:ind w:left="138" w:right="274"/>
              <w:rPr>
                <w:rFonts w:ascii="Lato" w:eastAsia="Arial" w:hAnsi="Lato" w:cs="Arial"/>
                <w:sz w:val="18"/>
                <w:szCs w:val="18"/>
              </w:rPr>
            </w:pPr>
            <w:r w:rsidRPr="009521C9">
              <w:rPr>
                <w:rFonts w:ascii="Lato" w:eastAsia="Arial" w:hAnsi="Lato" w:cs="Arial"/>
                <w:sz w:val="18"/>
                <w:szCs w:val="18"/>
              </w:rPr>
              <w:t>„9. Niezwłocznie po otrzymaniu decyzji, o których mowa w ust. 1, 2 i 4, właściwe organy Służby Geodezyjnej i Kartograficznej oraz podmioty prowadzące mapy dla terenów zamkniętych dokonują zmian w upublicznianiu danych, w zakresie określonym w tych decyzjach, zgodnie z obowiązującymi standardami dotyczącymi ograniczania upubliczniania danych.”.</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6D21402C" w14:textId="5C22300E" w:rsidR="00FA234D" w:rsidRPr="009521C9" w:rsidRDefault="00FA234D" w:rsidP="00E54DC7">
            <w:pPr>
              <w:pStyle w:val="Inne0"/>
              <w:shd w:val="clear" w:color="auto" w:fill="auto"/>
              <w:spacing w:before="120" w:after="120"/>
              <w:ind w:left="136"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40F15BFB" w14:textId="63922936" w:rsidR="00654E4F" w:rsidRPr="009521C9" w:rsidRDefault="00654E4F" w:rsidP="00654E4F">
            <w:pPr>
              <w:pStyle w:val="Inne0"/>
              <w:shd w:val="clear" w:color="auto" w:fill="auto"/>
              <w:spacing w:before="120" w:after="120"/>
              <w:ind w:left="131" w:right="138"/>
              <w:rPr>
                <w:rFonts w:ascii="Lato" w:eastAsia="Arial" w:hAnsi="Lato" w:cs="Arial"/>
                <w:sz w:val="18"/>
                <w:szCs w:val="18"/>
              </w:rPr>
            </w:pPr>
            <w:r w:rsidRPr="009521C9">
              <w:rPr>
                <w:rFonts w:ascii="Lato" w:eastAsia="Arial" w:hAnsi="Lato" w:cs="Arial"/>
                <w:sz w:val="18"/>
                <w:szCs w:val="18"/>
              </w:rPr>
              <w:t>Zgłoszona uwaga jest poza zakresem prac Komitetu do spraw Cyfryzacji.</w:t>
            </w:r>
          </w:p>
          <w:p w14:paraId="1CB8185A" w14:textId="5736D334" w:rsidR="00654E4F" w:rsidRPr="009521C9" w:rsidRDefault="003D5120" w:rsidP="00654E4F">
            <w:pPr>
              <w:pStyle w:val="Inne0"/>
              <w:spacing w:before="120" w:after="120"/>
              <w:ind w:left="131" w:right="138"/>
              <w:rPr>
                <w:rFonts w:ascii="Lato" w:eastAsia="Arial" w:hAnsi="Lato" w:cs="Arial"/>
                <w:sz w:val="18"/>
                <w:szCs w:val="18"/>
              </w:rPr>
            </w:pPr>
            <w:r w:rsidRPr="009521C9">
              <w:rPr>
                <w:rFonts w:ascii="Lato" w:eastAsia="Arial" w:hAnsi="Lato" w:cs="Arial"/>
                <w:sz w:val="18"/>
                <w:szCs w:val="18"/>
              </w:rPr>
              <w:lastRenderedPageBreak/>
              <w:t>Uwaga zostanie uwzględniona na kolejnym etapie prac legislacyjnych – brzmienie zostanie dostosowane do obowiązujących przepisów prawa.</w:t>
            </w:r>
          </w:p>
          <w:p w14:paraId="213FD341" w14:textId="71D038DB" w:rsidR="00CD19D8" w:rsidRPr="009521C9" w:rsidRDefault="00CD19D8" w:rsidP="00E54DC7">
            <w:pPr>
              <w:pStyle w:val="Inne0"/>
              <w:shd w:val="clear" w:color="auto" w:fill="auto"/>
              <w:spacing w:before="120" w:after="120"/>
              <w:ind w:left="131" w:right="138"/>
              <w:rPr>
                <w:rFonts w:ascii="Lato" w:eastAsia="Arial" w:hAnsi="Lato" w:cs="Arial"/>
                <w:sz w:val="18"/>
                <w:szCs w:val="18"/>
              </w:rPr>
            </w:pPr>
          </w:p>
        </w:tc>
      </w:tr>
      <w:tr w:rsidR="00FA234D" w:rsidRPr="009521C9" w14:paraId="1724E6E8" w14:textId="28981E4F" w:rsidTr="003005A0">
        <w:trPr>
          <w:trHeight w:val="20"/>
        </w:trPr>
        <w:tc>
          <w:tcPr>
            <w:tcW w:w="709" w:type="dxa"/>
            <w:tcBorders>
              <w:top w:val="single" w:sz="4" w:space="0" w:color="auto"/>
              <w:left w:val="single" w:sz="4" w:space="0" w:color="auto"/>
              <w:bottom w:val="single" w:sz="4" w:space="0" w:color="auto"/>
            </w:tcBorders>
            <w:shd w:val="clear" w:color="auto" w:fill="FFFFFF"/>
          </w:tcPr>
          <w:p w14:paraId="637C0C84" w14:textId="77777777" w:rsidR="00FA234D" w:rsidRPr="009521C9" w:rsidRDefault="00FA234D" w:rsidP="00B918CF">
            <w:pPr>
              <w:pStyle w:val="Inne0"/>
              <w:numPr>
                <w:ilvl w:val="0"/>
                <w:numId w:val="1"/>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28F91579" w14:textId="3A69CE6F" w:rsidR="00FA234D" w:rsidRPr="009521C9" w:rsidRDefault="00EA4C87" w:rsidP="00E54DC7">
            <w:pPr>
              <w:pStyle w:val="Inne0"/>
              <w:shd w:val="clear" w:color="auto" w:fill="auto"/>
              <w:spacing w:before="120" w:after="120"/>
              <w:ind w:left="140"/>
              <w:rPr>
                <w:rFonts w:ascii="Lato" w:eastAsia="Arial" w:hAnsi="Lato" w:cs="Arial"/>
                <w:sz w:val="18"/>
                <w:szCs w:val="18"/>
              </w:rPr>
            </w:pPr>
            <w:r w:rsidRPr="009521C9">
              <w:rPr>
                <w:rFonts w:ascii="Lato" w:eastAsia="Arial" w:hAnsi="Lato" w:cs="Arial"/>
                <w:sz w:val="18"/>
                <w:szCs w:val="18"/>
              </w:rPr>
              <w:t>Minister Infrastruktury</w:t>
            </w:r>
          </w:p>
        </w:tc>
        <w:tc>
          <w:tcPr>
            <w:tcW w:w="5812" w:type="dxa"/>
            <w:tcBorders>
              <w:top w:val="single" w:sz="4" w:space="0" w:color="auto"/>
              <w:left w:val="single" w:sz="4" w:space="0" w:color="auto"/>
              <w:bottom w:val="single" w:sz="4" w:space="0" w:color="auto"/>
            </w:tcBorders>
            <w:shd w:val="clear" w:color="auto" w:fill="FFFFFF"/>
          </w:tcPr>
          <w:p w14:paraId="286CBF97" w14:textId="68E5274D" w:rsidR="00EA4C87" w:rsidRPr="009521C9" w:rsidRDefault="00EA4C87" w:rsidP="00E54DC7">
            <w:pPr>
              <w:pStyle w:val="Inne0"/>
              <w:spacing w:before="120" w:after="120"/>
              <w:ind w:left="138" w:right="274"/>
              <w:rPr>
                <w:rFonts w:ascii="Lato" w:eastAsia="Arial" w:hAnsi="Lato" w:cs="Arial"/>
                <w:sz w:val="18"/>
                <w:szCs w:val="18"/>
              </w:rPr>
            </w:pPr>
            <w:r w:rsidRPr="009521C9">
              <w:rPr>
                <w:rFonts w:ascii="Lato" w:eastAsia="Arial" w:hAnsi="Lato" w:cs="Arial"/>
                <w:sz w:val="18"/>
                <w:szCs w:val="18"/>
              </w:rPr>
              <w:t>Jednocześnie pragnę wyrazić pozytywną opinię wobec rozwiązania przyjętego w art. 1 pkt 23 projektu ustawy, w zakresie dodania w art. 23 ust. 3 pkt 1 lit. n ustawy z dnia 17 maja 1989 r. - Prawo geodezyjne i kartograficzne (Dz. U. z 2024 r. poz. 1151 i 1824 oraz z 2025 r. poz. 1019, 1542 i 1792) regulacji dotyczącej ustalenia charakteru wód.</w:t>
            </w:r>
          </w:p>
          <w:p w14:paraId="624F31B6" w14:textId="77777777" w:rsidR="00FA234D" w:rsidRPr="009521C9" w:rsidRDefault="00EA4C87" w:rsidP="00E54DC7">
            <w:pPr>
              <w:pStyle w:val="Inne0"/>
              <w:shd w:val="clear" w:color="auto" w:fill="auto"/>
              <w:spacing w:before="120" w:after="120"/>
              <w:ind w:left="138" w:right="274"/>
              <w:rPr>
                <w:rFonts w:ascii="Lato" w:eastAsia="Arial" w:hAnsi="Lato" w:cs="Arial"/>
                <w:sz w:val="18"/>
                <w:szCs w:val="18"/>
              </w:rPr>
            </w:pPr>
            <w:r w:rsidRPr="009521C9">
              <w:rPr>
                <w:rFonts w:ascii="Lato" w:eastAsia="Arial" w:hAnsi="Lato" w:cs="Arial"/>
                <w:sz w:val="18"/>
                <w:szCs w:val="18"/>
              </w:rPr>
              <w:t xml:space="preserve">Należy podkreślić, że wprowadzenie lit. n do art. 23 ust. 3 pkt 1 w proponowanym brzmieniu wypełnia lukę prawną związaną z art. 219 ust. 4 ustawy z dnia 20 lipca 2017 r. Prawo wodne (Dz. U. z 2025 r. poz. 960, z </w:t>
            </w:r>
            <w:proofErr w:type="spellStart"/>
            <w:r w:rsidRPr="009521C9">
              <w:rPr>
                <w:rFonts w:ascii="Lato" w:eastAsia="Arial" w:hAnsi="Lato" w:cs="Arial"/>
                <w:sz w:val="18"/>
                <w:szCs w:val="18"/>
              </w:rPr>
              <w:t>późn</w:t>
            </w:r>
            <w:proofErr w:type="spellEnd"/>
            <w:r w:rsidRPr="009521C9">
              <w:rPr>
                <w:rFonts w:ascii="Lato" w:eastAsia="Arial" w:hAnsi="Lato" w:cs="Arial"/>
                <w:sz w:val="18"/>
                <w:szCs w:val="18"/>
              </w:rPr>
              <w:t>. zm.), zwanej dalej „Prawo wodne”. Decyzja o ustaleniu charakteru wód stanowi bowiem podstawę do dokonania zmian w ewidencji gruntów i budynków, podczas gdy dotychczas brakowało jednoznacznego obowiązku ich przekazywania przez ministra właściwego do spraw gospodarki wodnej właściwemu staroście.</w:t>
            </w:r>
          </w:p>
          <w:p w14:paraId="73CEC5EC" w14:textId="116247C5" w:rsidR="00EA4C87" w:rsidRPr="009521C9" w:rsidRDefault="00EA4C87" w:rsidP="00E54DC7">
            <w:pPr>
              <w:pStyle w:val="Inne0"/>
              <w:spacing w:before="120" w:after="120"/>
              <w:ind w:left="138" w:right="274"/>
              <w:rPr>
                <w:rFonts w:ascii="Lato" w:eastAsia="Arial" w:hAnsi="Lato" w:cs="Arial"/>
                <w:sz w:val="18"/>
                <w:szCs w:val="18"/>
              </w:rPr>
            </w:pPr>
            <w:r w:rsidRPr="009521C9">
              <w:rPr>
                <w:rFonts w:ascii="Lato" w:eastAsia="Arial" w:hAnsi="Lato" w:cs="Arial"/>
                <w:sz w:val="18"/>
                <w:szCs w:val="18"/>
              </w:rPr>
              <w:t>Zasadnym jest również wskazanie, że wprowadzenie przedmiotowej regulacji wymaga korelacyjnej zmiany art. 219 ust. 4 Prawa wodnego, tak aby nie budziło wątpliwości, że decyzja ustalająca charakter wód stanowi podstawę do wprowadzenia zmian w ewidencji gruntów i budynków w zakresie użytków gruntowych na nieruchomościach objętych wnioskiem o ustalenie charakteru wód.</w:t>
            </w:r>
          </w:p>
          <w:p w14:paraId="5E8BF06F" w14:textId="77777777" w:rsidR="00EA4C87" w:rsidRPr="009521C9" w:rsidRDefault="00EA4C87" w:rsidP="00E54DC7">
            <w:pPr>
              <w:pStyle w:val="Inne0"/>
              <w:spacing w:before="120" w:after="120"/>
              <w:ind w:left="138" w:right="274"/>
              <w:rPr>
                <w:rFonts w:ascii="Lato" w:eastAsia="Arial" w:hAnsi="Lato" w:cs="Arial"/>
                <w:sz w:val="18"/>
                <w:szCs w:val="18"/>
              </w:rPr>
            </w:pPr>
            <w:r w:rsidRPr="009521C9">
              <w:rPr>
                <w:rFonts w:ascii="Lato" w:eastAsia="Arial" w:hAnsi="Lato" w:cs="Arial"/>
                <w:sz w:val="18"/>
                <w:szCs w:val="18"/>
              </w:rPr>
              <w:t>Obecnie art. 219 ust. 4 Prawa wodnego stanowi, że:</w:t>
            </w:r>
          </w:p>
          <w:p w14:paraId="3993BC59" w14:textId="77777777" w:rsidR="00EA4C87" w:rsidRPr="009521C9" w:rsidRDefault="00EA4C87" w:rsidP="00E54DC7">
            <w:pPr>
              <w:pStyle w:val="Inne0"/>
              <w:spacing w:before="120" w:after="120"/>
              <w:ind w:left="138" w:right="274"/>
              <w:rPr>
                <w:rFonts w:ascii="Lato" w:eastAsia="Arial" w:hAnsi="Lato" w:cs="Arial"/>
                <w:sz w:val="18"/>
                <w:szCs w:val="18"/>
              </w:rPr>
            </w:pPr>
            <w:r w:rsidRPr="009521C9">
              <w:rPr>
                <w:rFonts w:ascii="Lato" w:eastAsia="Arial" w:hAnsi="Lato" w:cs="Arial"/>
                <w:sz w:val="18"/>
                <w:szCs w:val="18"/>
              </w:rPr>
              <w:t>„4. Decyzja, o której mowa w ust. 1, stanowi podstawę do dokonania zmian w ewidencji gruntów i budynków.”</w:t>
            </w:r>
          </w:p>
          <w:p w14:paraId="73AD7CFE" w14:textId="77777777" w:rsidR="00EA4C87" w:rsidRPr="009521C9" w:rsidRDefault="00EA4C87" w:rsidP="00E54DC7">
            <w:pPr>
              <w:pStyle w:val="Inne0"/>
              <w:spacing w:before="120" w:after="120"/>
              <w:ind w:left="138" w:right="274"/>
              <w:rPr>
                <w:rFonts w:ascii="Lato" w:eastAsia="Arial" w:hAnsi="Lato" w:cs="Arial"/>
                <w:sz w:val="18"/>
                <w:szCs w:val="18"/>
              </w:rPr>
            </w:pPr>
            <w:r w:rsidRPr="009521C9">
              <w:rPr>
                <w:rFonts w:ascii="Lato" w:eastAsia="Arial" w:hAnsi="Lato" w:cs="Arial"/>
                <w:sz w:val="18"/>
                <w:szCs w:val="18"/>
              </w:rPr>
              <w:t>Proponuje się nadanie temu przepisowi następującego brzmienia:</w:t>
            </w:r>
          </w:p>
          <w:p w14:paraId="61A1143B" w14:textId="77777777" w:rsidR="00EA4C87" w:rsidRPr="009521C9" w:rsidRDefault="00EA4C87" w:rsidP="00E54DC7">
            <w:pPr>
              <w:pStyle w:val="Inne0"/>
              <w:spacing w:before="120" w:after="120"/>
              <w:ind w:left="138" w:right="274"/>
              <w:rPr>
                <w:rFonts w:ascii="Lato" w:eastAsia="Arial" w:hAnsi="Lato" w:cs="Arial"/>
                <w:sz w:val="18"/>
                <w:szCs w:val="18"/>
              </w:rPr>
            </w:pPr>
            <w:r w:rsidRPr="009521C9">
              <w:rPr>
                <w:rFonts w:ascii="Lato" w:eastAsia="Arial" w:hAnsi="Lato" w:cs="Arial"/>
                <w:sz w:val="18"/>
                <w:szCs w:val="18"/>
              </w:rPr>
              <w:t>„4. Decyzja, o której mowa w ust. 1, stanowi podstawę do dokonania zmian w ewidencji gruntów i budynków w zakresie użytków gruntowych na nieruchomościach objętych wnioskiem o ustalenie charakteru wód”.</w:t>
            </w:r>
          </w:p>
          <w:p w14:paraId="7B92144A" w14:textId="7554D148" w:rsidR="00EA4C87" w:rsidRPr="009521C9" w:rsidRDefault="00EA4C87" w:rsidP="00E54DC7">
            <w:pPr>
              <w:pStyle w:val="Inne0"/>
              <w:spacing w:before="120" w:after="120"/>
              <w:ind w:left="138" w:right="274"/>
              <w:rPr>
                <w:rFonts w:ascii="Lato" w:eastAsia="Arial" w:hAnsi="Lato" w:cs="Arial"/>
                <w:sz w:val="18"/>
                <w:szCs w:val="18"/>
              </w:rPr>
            </w:pPr>
            <w:r w:rsidRPr="009521C9">
              <w:rPr>
                <w:rFonts w:ascii="Lato" w:eastAsia="Arial" w:hAnsi="Lato" w:cs="Arial"/>
                <w:sz w:val="18"/>
                <w:szCs w:val="18"/>
              </w:rPr>
              <w:t>Ponadto należy dokonać zmiany art. 219 ust. 1 Prawa wodnego, który obecnie stanowi, że:</w:t>
            </w:r>
          </w:p>
          <w:p w14:paraId="2E215A90" w14:textId="77777777" w:rsidR="00EA4C87" w:rsidRPr="009521C9" w:rsidRDefault="00EA4C87" w:rsidP="00E54DC7">
            <w:pPr>
              <w:pStyle w:val="Inne0"/>
              <w:spacing w:before="120" w:after="120"/>
              <w:ind w:left="138" w:right="274"/>
              <w:rPr>
                <w:rFonts w:ascii="Lato" w:eastAsia="Arial" w:hAnsi="Lato" w:cs="Arial"/>
                <w:sz w:val="18"/>
                <w:szCs w:val="18"/>
              </w:rPr>
            </w:pPr>
            <w:r w:rsidRPr="009521C9">
              <w:rPr>
                <w:rFonts w:ascii="Lato" w:eastAsia="Arial" w:hAnsi="Lato" w:cs="Arial"/>
                <w:sz w:val="18"/>
                <w:szCs w:val="18"/>
              </w:rPr>
              <w:t>„1. Minister właściwy do spraw gospodarki wodnej, w drodze decyzji, ustala charakter wód”.</w:t>
            </w:r>
          </w:p>
          <w:p w14:paraId="509C0D92" w14:textId="77777777" w:rsidR="00EA4C87" w:rsidRPr="009521C9" w:rsidRDefault="00EA4C87" w:rsidP="00E54DC7">
            <w:pPr>
              <w:pStyle w:val="Inne0"/>
              <w:spacing w:before="120" w:after="120"/>
              <w:ind w:left="138" w:right="274"/>
              <w:rPr>
                <w:rFonts w:ascii="Lato" w:eastAsia="Arial" w:hAnsi="Lato" w:cs="Arial"/>
                <w:sz w:val="18"/>
                <w:szCs w:val="18"/>
              </w:rPr>
            </w:pPr>
            <w:r w:rsidRPr="009521C9">
              <w:rPr>
                <w:rFonts w:ascii="Lato" w:eastAsia="Arial" w:hAnsi="Lato" w:cs="Arial"/>
                <w:sz w:val="18"/>
                <w:szCs w:val="18"/>
              </w:rPr>
              <w:lastRenderedPageBreak/>
              <w:t>Proponuje się następujące brzmienie tego przepisu:</w:t>
            </w:r>
          </w:p>
          <w:p w14:paraId="0DC169EA" w14:textId="77777777" w:rsidR="00EA4C87" w:rsidRPr="009521C9" w:rsidRDefault="00EA4C87" w:rsidP="00E54DC7">
            <w:pPr>
              <w:pStyle w:val="Inne0"/>
              <w:spacing w:before="120" w:after="120"/>
              <w:ind w:left="138" w:right="274"/>
              <w:rPr>
                <w:rFonts w:ascii="Lato" w:eastAsia="Arial" w:hAnsi="Lato" w:cs="Arial"/>
                <w:sz w:val="18"/>
                <w:szCs w:val="18"/>
              </w:rPr>
            </w:pPr>
            <w:r w:rsidRPr="009521C9">
              <w:rPr>
                <w:rFonts w:ascii="Lato" w:eastAsia="Arial" w:hAnsi="Lato" w:cs="Arial"/>
                <w:sz w:val="18"/>
                <w:szCs w:val="18"/>
              </w:rPr>
              <w:t>„1. Minister właściwy do spraw gospodarki wodnej, w drodze decyzji, ustala charakter wód na nieruchomościach objętych wnioskiem.”.</w:t>
            </w:r>
          </w:p>
          <w:p w14:paraId="5009019C" w14:textId="77777777" w:rsidR="00EA4C87" w:rsidRPr="009521C9" w:rsidRDefault="00EA4C87" w:rsidP="00E54DC7">
            <w:pPr>
              <w:pStyle w:val="Inne0"/>
              <w:spacing w:before="120" w:after="120"/>
              <w:ind w:left="138" w:right="274"/>
              <w:rPr>
                <w:rFonts w:ascii="Lato" w:eastAsia="Arial" w:hAnsi="Lato" w:cs="Arial"/>
                <w:sz w:val="18"/>
                <w:szCs w:val="18"/>
              </w:rPr>
            </w:pPr>
            <w:r w:rsidRPr="009521C9">
              <w:rPr>
                <w:rFonts w:ascii="Lato" w:eastAsia="Arial" w:hAnsi="Lato" w:cs="Arial"/>
                <w:sz w:val="18"/>
                <w:szCs w:val="18"/>
              </w:rPr>
              <w:t>Podkreślenia wymaga, że decyzja ustalająca charakter wód odnosi się do cech wód występujących na konkretnych nieruchomościach. Z uwagi na powyższe możliwych jest wiele rodzajów rozstrzygnięć dotyczących charakteru wód w decyzji wydawanej na podstawie art. 219 Prawa wodnego. Najczęściej spotykanymi charakterami wód w tych rozstrzygnięciach są:</w:t>
            </w:r>
          </w:p>
          <w:p w14:paraId="048FA214" w14:textId="1EEE878D" w:rsidR="00EA4C87" w:rsidRPr="009521C9" w:rsidRDefault="00EA4C87" w:rsidP="00654E4F">
            <w:pPr>
              <w:pStyle w:val="Inne0"/>
              <w:numPr>
                <w:ilvl w:val="0"/>
                <w:numId w:val="8"/>
              </w:numPr>
              <w:spacing w:before="120" w:after="120"/>
              <w:ind w:left="555" w:right="274"/>
              <w:rPr>
                <w:rFonts w:ascii="Lato" w:eastAsia="Arial" w:hAnsi="Lato" w:cs="Arial"/>
                <w:sz w:val="18"/>
                <w:szCs w:val="18"/>
              </w:rPr>
            </w:pPr>
            <w:r w:rsidRPr="009521C9">
              <w:rPr>
                <w:rFonts w:ascii="Lato" w:eastAsia="Arial" w:hAnsi="Lato" w:cs="Arial"/>
                <w:sz w:val="18"/>
                <w:szCs w:val="18"/>
              </w:rPr>
              <w:t>śródlądowe wody płynące w cieku naturalnym albo w urządzeniu wodnym - kanale (</w:t>
            </w:r>
            <w:proofErr w:type="spellStart"/>
            <w:r w:rsidRPr="009521C9">
              <w:rPr>
                <w:rFonts w:ascii="Lato" w:eastAsia="Arial" w:hAnsi="Lato" w:cs="Arial"/>
                <w:sz w:val="18"/>
                <w:szCs w:val="18"/>
              </w:rPr>
              <w:t>Wp</w:t>
            </w:r>
            <w:proofErr w:type="spellEnd"/>
            <w:r w:rsidRPr="009521C9">
              <w:rPr>
                <w:rFonts w:ascii="Lato" w:eastAsia="Arial" w:hAnsi="Lato" w:cs="Arial"/>
                <w:sz w:val="18"/>
                <w:szCs w:val="18"/>
              </w:rPr>
              <w:t>),</w:t>
            </w:r>
          </w:p>
          <w:p w14:paraId="15499C08" w14:textId="245561A5" w:rsidR="00EA4C87" w:rsidRPr="009521C9" w:rsidRDefault="00EA4C87" w:rsidP="00654E4F">
            <w:pPr>
              <w:pStyle w:val="Inne0"/>
              <w:numPr>
                <w:ilvl w:val="0"/>
                <w:numId w:val="8"/>
              </w:numPr>
              <w:spacing w:before="120" w:after="120"/>
              <w:ind w:left="555" w:right="274"/>
              <w:rPr>
                <w:rFonts w:ascii="Lato" w:eastAsia="Arial" w:hAnsi="Lato" w:cs="Arial"/>
                <w:sz w:val="18"/>
                <w:szCs w:val="18"/>
              </w:rPr>
            </w:pPr>
            <w:r w:rsidRPr="009521C9">
              <w:rPr>
                <w:rFonts w:ascii="Lato" w:eastAsia="Arial" w:hAnsi="Lato" w:cs="Arial"/>
                <w:sz w:val="18"/>
                <w:szCs w:val="18"/>
              </w:rPr>
              <w:t>śródlądowe wody płynące w sztucznym zbiorniku wodnym usytuowanym na wodach płynących (</w:t>
            </w:r>
            <w:proofErr w:type="spellStart"/>
            <w:r w:rsidRPr="009521C9">
              <w:rPr>
                <w:rFonts w:ascii="Lato" w:eastAsia="Arial" w:hAnsi="Lato" w:cs="Arial"/>
                <w:sz w:val="18"/>
                <w:szCs w:val="18"/>
              </w:rPr>
              <w:t>Wp</w:t>
            </w:r>
            <w:proofErr w:type="spellEnd"/>
            <w:r w:rsidRPr="009521C9">
              <w:rPr>
                <w:rFonts w:ascii="Lato" w:eastAsia="Arial" w:hAnsi="Lato" w:cs="Arial"/>
                <w:sz w:val="18"/>
                <w:szCs w:val="18"/>
              </w:rPr>
              <w:t>),</w:t>
            </w:r>
          </w:p>
          <w:p w14:paraId="43F38C50" w14:textId="7A8FC936" w:rsidR="00EA4C87" w:rsidRPr="009521C9" w:rsidRDefault="00EA4C87" w:rsidP="00654E4F">
            <w:pPr>
              <w:pStyle w:val="Inne0"/>
              <w:numPr>
                <w:ilvl w:val="0"/>
                <w:numId w:val="8"/>
              </w:numPr>
              <w:spacing w:before="120" w:after="120"/>
              <w:ind w:left="555" w:right="274"/>
              <w:rPr>
                <w:rFonts w:ascii="Lato" w:eastAsia="Arial" w:hAnsi="Lato" w:cs="Arial"/>
                <w:sz w:val="18"/>
                <w:szCs w:val="18"/>
              </w:rPr>
            </w:pPr>
            <w:r w:rsidRPr="009521C9">
              <w:rPr>
                <w:rFonts w:ascii="Lato" w:eastAsia="Arial" w:hAnsi="Lato" w:cs="Arial"/>
                <w:sz w:val="18"/>
                <w:szCs w:val="18"/>
              </w:rPr>
              <w:t>śródlądowe wody płynące w jeziorze lub innym naturalnym zbiorniku wodnym o ciągłym albo okresowym naturalnym dopływie lub odpływie wód powierzchniowych (</w:t>
            </w:r>
            <w:proofErr w:type="spellStart"/>
            <w:r w:rsidRPr="009521C9">
              <w:rPr>
                <w:rFonts w:ascii="Lato" w:eastAsia="Arial" w:hAnsi="Lato" w:cs="Arial"/>
                <w:sz w:val="18"/>
                <w:szCs w:val="18"/>
              </w:rPr>
              <w:t>Wp</w:t>
            </w:r>
            <w:proofErr w:type="spellEnd"/>
            <w:r w:rsidRPr="009521C9">
              <w:rPr>
                <w:rFonts w:ascii="Lato" w:eastAsia="Arial" w:hAnsi="Lato" w:cs="Arial"/>
                <w:sz w:val="18"/>
                <w:szCs w:val="18"/>
              </w:rPr>
              <w:t>),</w:t>
            </w:r>
          </w:p>
          <w:p w14:paraId="715AB5BF" w14:textId="79270763" w:rsidR="00EA4C87" w:rsidRPr="009521C9" w:rsidRDefault="00EA4C87" w:rsidP="00654E4F">
            <w:pPr>
              <w:pStyle w:val="Inne0"/>
              <w:numPr>
                <w:ilvl w:val="0"/>
                <w:numId w:val="8"/>
              </w:numPr>
              <w:spacing w:before="120" w:after="120"/>
              <w:ind w:left="555" w:right="274"/>
              <w:rPr>
                <w:rFonts w:ascii="Lato" w:eastAsia="Arial" w:hAnsi="Lato" w:cs="Arial"/>
                <w:sz w:val="18"/>
                <w:szCs w:val="18"/>
              </w:rPr>
            </w:pPr>
            <w:r w:rsidRPr="009521C9">
              <w:rPr>
                <w:rFonts w:ascii="Lato" w:eastAsia="Arial" w:hAnsi="Lato" w:cs="Arial"/>
                <w:sz w:val="18"/>
                <w:szCs w:val="18"/>
              </w:rPr>
              <w:t>śródlądowe wody stojące (</w:t>
            </w:r>
            <w:proofErr w:type="spellStart"/>
            <w:r w:rsidRPr="009521C9">
              <w:rPr>
                <w:rFonts w:ascii="Lato" w:eastAsia="Arial" w:hAnsi="Lato" w:cs="Arial"/>
                <w:sz w:val="18"/>
                <w:szCs w:val="18"/>
              </w:rPr>
              <w:t>Ws</w:t>
            </w:r>
            <w:proofErr w:type="spellEnd"/>
            <w:r w:rsidRPr="009521C9">
              <w:rPr>
                <w:rFonts w:ascii="Lato" w:eastAsia="Arial" w:hAnsi="Lato" w:cs="Arial"/>
                <w:sz w:val="18"/>
                <w:szCs w:val="18"/>
              </w:rPr>
              <w:t>) lub woda (niebędąca zasobem wodnym) w urządzeniu wodnym - rowie (W).</w:t>
            </w:r>
          </w:p>
          <w:p w14:paraId="3FFB54AD" w14:textId="77777777" w:rsidR="00EA4C87" w:rsidRPr="009521C9" w:rsidRDefault="00EA4C87" w:rsidP="00E54DC7">
            <w:pPr>
              <w:pStyle w:val="Inne0"/>
              <w:spacing w:before="120" w:after="120"/>
              <w:ind w:left="138" w:right="274"/>
              <w:rPr>
                <w:rFonts w:ascii="Lato" w:eastAsia="Arial" w:hAnsi="Lato" w:cs="Arial"/>
                <w:sz w:val="18"/>
                <w:szCs w:val="18"/>
              </w:rPr>
            </w:pPr>
            <w:r w:rsidRPr="009521C9">
              <w:rPr>
                <w:rFonts w:ascii="Lato" w:eastAsia="Arial" w:hAnsi="Lato" w:cs="Arial"/>
                <w:sz w:val="18"/>
                <w:szCs w:val="18"/>
              </w:rPr>
              <w:t>Takie decyzje wydawane na podstawie art. 219 Prawa wodnego są podstawą do dokonania zamian w ewidencji gruntów i budynków (art. 219 ust. 4 Prawa wodnego).</w:t>
            </w:r>
          </w:p>
          <w:p w14:paraId="76B97D8C" w14:textId="27EC4718" w:rsidR="00EA4C87" w:rsidRPr="009521C9" w:rsidRDefault="00EA4C87" w:rsidP="00E54DC7">
            <w:pPr>
              <w:pStyle w:val="Inne0"/>
              <w:shd w:val="clear" w:color="auto" w:fill="auto"/>
              <w:spacing w:before="120" w:after="120"/>
              <w:ind w:left="138" w:right="274"/>
              <w:rPr>
                <w:rFonts w:ascii="Lato" w:eastAsia="Arial" w:hAnsi="Lato" w:cs="Arial"/>
                <w:sz w:val="18"/>
                <w:szCs w:val="18"/>
              </w:rPr>
            </w:pPr>
            <w:r w:rsidRPr="009521C9">
              <w:rPr>
                <w:rFonts w:ascii="Lato" w:eastAsia="Arial" w:hAnsi="Lato" w:cs="Arial"/>
                <w:sz w:val="18"/>
                <w:szCs w:val="18"/>
              </w:rPr>
              <w:t>W celu wyeliminowania wszelkich wątpliwości interpretacyjnych co do zakresu jej oddziaływania zasadne jest jednoznaczne wskazanie, że aktualizacja danych ewidencyjnych powinna dotyczyć użytków gruntowych na nieruchomościach objętych wnioskiem o ustalenie charakteru wód.</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451265B6" w14:textId="66821F54" w:rsidR="00FA234D" w:rsidRPr="009521C9" w:rsidRDefault="00FA234D" w:rsidP="00E54DC7">
            <w:pPr>
              <w:pStyle w:val="Inne0"/>
              <w:spacing w:before="120" w:after="120"/>
              <w:ind w:left="136"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6487DFD0" w14:textId="7943DD59" w:rsidR="00FA234D" w:rsidRPr="009521C9" w:rsidRDefault="00654E4F" w:rsidP="00A73F70">
            <w:pPr>
              <w:pStyle w:val="Inne0"/>
              <w:shd w:val="clear" w:color="auto" w:fill="auto"/>
              <w:spacing w:before="120" w:after="120"/>
              <w:ind w:left="131" w:right="138"/>
              <w:rPr>
                <w:rFonts w:ascii="Lato" w:eastAsia="Arial" w:hAnsi="Lato" w:cs="Arial"/>
                <w:sz w:val="18"/>
                <w:szCs w:val="18"/>
              </w:rPr>
            </w:pPr>
            <w:r w:rsidRPr="009521C9">
              <w:rPr>
                <w:rFonts w:ascii="Lato" w:eastAsia="Arial" w:hAnsi="Lato" w:cs="Arial"/>
                <w:sz w:val="18"/>
                <w:szCs w:val="18"/>
              </w:rPr>
              <w:t>Zgłoszona uwaga jest poza zakresem prac Komitetu do spraw Cyfryzacji.</w:t>
            </w:r>
          </w:p>
          <w:p w14:paraId="6ECF914A" w14:textId="7B99F8B0" w:rsidR="00A73F70" w:rsidRPr="009521C9" w:rsidRDefault="00A73F70" w:rsidP="00A73F70">
            <w:pPr>
              <w:pStyle w:val="Inne0"/>
              <w:shd w:val="clear" w:color="auto" w:fill="auto"/>
              <w:spacing w:before="120" w:after="120"/>
              <w:ind w:left="131" w:right="138"/>
              <w:rPr>
                <w:rFonts w:ascii="Lato" w:eastAsia="Arial" w:hAnsi="Lato" w:cs="Arial"/>
                <w:sz w:val="18"/>
                <w:szCs w:val="18"/>
              </w:rPr>
            </w:pPr>
            <w:r w:rsidRPr="009521C9">
              <w:rPr>
                <w:rFonts w:ascii="Lato" w:eastAsia="Arial" w:hAnsi="Lato" w:cs="Arial"/>
                <w:sz w:val="18"/>
                <w:szCs w:val="18"/>
              </w:rPr>
              <w:t xml:space="preserve">Uwaga nie została uwzględniona. Kwestia brzmienia przepisów ustawy z dnia 20 lipca 2017 r. Prawo wodne (Dz. U. z 2025 r. poz. 960, z </w:t>
            </w:r>
            <w:proofErr w:type="spellStart"/>
            <w:r w:rsidRPr="009521C9">
              <w:rPr>
                <w:rFonts w:ascii="Lato" w:eastAsia="Arial" w:hAnsi="Lato" w:cs="Arial"/>
                <w:sz w:val="18"/>
                <w:szCs w:val="18"/>
              </w:rPr>
              <w:t>późn</w:t>
            </w:r>
            <w:proofErr w:type="spellEnd"/>
            <w:r w:rsidRPr="009521C9">
              <w:rPr>
                <w:rFonts w:ascii="Lato" w:eastAsia="Arial" w:hAnsi="Lato" w:cs="Arial"/>
                <w:sz w:val="18"/>
                <w:szCs w:val="18"/>
              </w:rPr>
              <w:t>. zm.) leży poza zakresem przedmiotowym projektu ustawy i nie ma związku z projektowanymi regulacjami.</w:t>
            </w:r>
          </w:p>
        </w:tc>
      </w:tr>
      <w:tr w:rsidR="00FA234D" w:rsidRPr="009521C9" w14:paraId="063D3F72" w14:textId="2C05C6DC" w:rsidTr="003005A0">
        <w:trPr>
          <w:trHeight w:val="20"/>
        </w:trPr>
        <w:tc>
          <w:tcPr>
            <w:tcW w:w="709" w:type="dxa"/>
            <w:tcBorders>
              <w:top w:val="single" w:sz="4" w:space="0" w:color="auto"/>
              <w:left w:val="single" w:sz="4" w:space="0" w:color="auto"/>
              <w:bottom w:val="single" w:sz="4" w:space="0" w:color="auto"/>
            </w:tcBorders>
            <w:shd w:val="clear" w:color="auto" w:fill="FFFFFF"/>
          </w:tcPr>
          <w:p w14:paraId="7DBAFE43" w14:textId="77777777" w:rsidR="00FA234D" w:rsidRPr="009521C9" w:rsidRDefault="00FA234D" w:rsidP="00B918CF">
            <w:pPr>
              <w:pStyle w:val="Inne0"/>
              <w:numPr>
                <w:ilvl w:val="0"/>
                <w:numId w:val="1"/>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09B94216" w14:textId="586BD690" w:rsidR="00FA234D" w:rsidRPr="009521C9" w:rsidRDefault="00EA4C87" w:rsidP="00E54DC7">
            <w:pPr>
              <w:pStyle w:val="Inne0"/>
              <w:shd w:val="clear" w:color="auto" w:fill="auto"/>
              <w:spacing w:before="120" w:after="120"/>
              <w:ind w:left="140"/>
              <w:rPr>
                <w:rFonts w:ascii="Lato" w:eastAsia="Arial" w:hAnsi="Lato" w:cs="Arial"/>
                <w:sz w:val="18"/>
                <w:szCs w:val="18"/>
              </w:rPr>
            </w:pPr>
            <w:r w:rsidRPr="009521C9">
              <w:rPr>
                <w:rFonts w:ascii="Lato" w:eastAsia="Arial" w:hAnsi="Lato" w:cs="Arial"/>
                <w:sz w:val="18"/>
                <w:szCs w:val="18"/>
              </w:rPr>
              <w:t>Minister Infrastruktury</w:t>
            </w:r>
          </w:p>
        </w:tc>
        <w:tc>
          <w:tcPr>
            <w:tcW w:w="5812" w:type="dxa"/>
            <w:tcBorders>
              <w:top w:val="single" w:sz="4" w:space="0" w:color="auto"/>
              <w:left w:val="single" w:sz="4" w:space="0" w:color="auto"/>
              <w:bottom w:val="single" w:sz="4" w:space="0" w:color="auto"/>
            </w:tcBorders>
            <w:shd w:val="clear" w:color="auto" w:fill="FFFFFF"/>
          </w:tcPr>
          <w:p w14:paraId="40CA16AA" w14:textId="0AE8F485" w:rsidR="00EA4C87" w:rsidRPr="009521C9" w:rsidRDefault="00EA4C87" w:rsidP="00E54DC7">
            <w:pPr>
              <w:pStyle w:val="Inne0"/>
              <w:spacing w:before="120" w:after="120"/>
              <w:ind w:left="138" w:right="274"/>
              <w:rPr>
                <w:rFonts w:ascii="Lato" w:eastAsia="Arial" w:hAnsi="Lato" w:cs="Arial"/>
                <w:sz w:val="18"/>
                <w:szCs w:val="18"/>
              </w:rPr>
            </w:pPr>
            <w:r w:rsidRPr="009521C9">
              <w:rPr>
                <w:rFonts w:ascii="Lato" w:eastAsia="Arial" w:hAnsi="Lato" w:cs="Arial"/>
                <w:sz w:val="18"/>
                <w:szCs w:val="18"/>
              </w:rPr>
              <w:t>Art. 15 projektu ustawy określa, że zgłoszenia prac geodezyjnych złożone do organów Służby Geodezyjnej i Kartograficznej przed dniem 31 lipca 2020 r., których wyniki nie zostały przekazane do tego organu przed dniem wejścia w życie niniejszej ustawy, podlegają z urzędu zamknięciu i nie mogą być kontynuowane. Z uwagi, że inwestycje kolejowe są prowadzone często w długoletnim okresie regulacja taka może skutkować opóźnieniem ich realizacji. W związku z powyższym proponuję oznaczenie dotychczasowej treści jako ust. 1 i dodanie ust. 2:</w:t>
            </w:r>
          </w:p>
          <w:p w14:paraId="23D43E7E" w14:textId="77777777" w:rsidR="00EA4C87" w:rsidRPr="009521C9" w:rsidRDefault="00EA4C87" w:rsidP="00E54DC7">
            <w:pPr>
              <w:pStyle w:val="Inne0"/>
              <w:spacing w:before="120" w:after="120"/>
              <w:ind w:left="138" w:right="274"/>
              <w:rPr>
                <w:rFonts w:ascii="Lato" w:eastAsia="Arial" w:hAnsi="Lato" w:cs="Arial"/>
                <w:sz w:val="18"/>
                <w:szCs w:val="18"/>
              </w:rPr>
            </w:pPr>
            <w:r w:rsidRPr="009521C9">
              <w:rPr>
                <w:rFonts w:ascii="Lato" w:eastAsia="Arial" w:hAnsi="Lato" w:cs="Arial"/>
                <w:sz w:val="18"/>
                <w:szCs w:val="18"/>
              </w:rPr>
              <w:t>„Art. 15. 1 Zgłoszenia prac geodezyjnych złożone do organów Służby Geodezyjnej i Kartograficznej przed dniem 31 lipca 2020 r., których wyniki nie zostały przekazane do tego organu przed dniem wejścia w życie niniejszej ustawy, podlegają z urzędu zamknięciu i nie mogą być kontynuowane.</w:t>
            </w:r>
          </w:p>
          <w:p w14:paraId="2328EF48" w14:textId="3C134734" w:rsidR="00FA234D" w:rsidRPr="009521C9" w:rsidRDefault="00EA4C87" w:rsidP="00E54DC7">
            <w:pPr>
              <w:pStyle w:val="Inne0"/>
              <w:shd w:val="clear" w:color="auto" w:fill="auto"/>
              <w:spacing w:before="120" w:after="120"/>
              <w:ind w:left="138" w:right="274"/>
              <w:rPr>
                <w:rFonts w:ascii="Lato" w:eastAsia="Arial" w:hAnsi="Lato" w:cs="Arial"/>
                <w:sz w:val="18"/>
                <w:szCs w:val="18"/>
              </w:rPr>
            </w:pPr>
            <w:r w:rsidRPr="009521C9">
              <w:rPr>
                <w:rFonts w:ascii="Lato" w:eastAsia="Arial" w:hAnsi="Lato" w:cs="Arial"/>
                <w:sz w:val="18"/>
                <w:szCs w:val="18"/>
              </w:rPr>
              <w:lastRenderedPageBreak/>
              <w:t>2. Przepisu ust. 1 nie stosuje się jeżeli przed upływem terminu w nim określonego podmiot dokonujący zgłoszenia prac geodezyjnych złoży informację, że prace inwestycyjne nie zostały ukończone i zgłoszenie pozostaje aktualne.”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47053DA" w14:textId="2E9BDC2C" w:rsidR="00FA234D" w:rsidRPr="009521C9" w:rsidRDefault="00FA234D" w:rsidP="00E54DC7">
            <w:pPr>
              <w:pStyle w:val="Inne0"/>
              <w:shd w:val="clear" w:color="auto" w:fill="auto"/>
              <w:spacing w:before="120" w:after="120"/>
              <w:ind w:left="421" w:right="136" w:hanging="285"/>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2DCD3212" w14:textId="3B8F8C47" w:rsidR="00FA234D" w:rsidRPr="009521C9" w:rsidRDefault="00654E4F" w:rsidP="003D5120">
            <w:pPr>
              <w:pStyle w:val="Inne0"/>
              <w:shd w:val="clear" w:color="auto" w:fill="auto"/>
              <w:spacing w:before="120" w:after="120"/>
              <w:ind w:left="131" w:right="138"/>
              <w:rPr>
                <w:rFonts w:ascii="Lato" w:eastAsia="Arial" w:hAnsi="Lato" w:cs="Arial"/>
                <w:sz w:val="18"/>
                <w:szCs w:val="18"/>
              </w:rPr>
            </w:pPr>
            <w:r w:rsidRPr="009521C9">
              <w:rPr>
                <w:rFonts w:ascii="Lato" w:eastAsia="Arial" w:hAnsi="Lato" w:cs="Arial"/>
                <w:sz w:val="18"/>
                <w:szCs w:val="18"/>
              </w:rPr>
              <w:t>Zgłoszona uwaga jest poza zakresem prac Komitetu do spraw Cyfryzacji.</w:t>
            </w:r>
          </w:p>
          <w:p w14:paraId="7C8BDFE5" w14:textId="77777777" w:rsidR="00A73F70" w:rsidRPr="009521C9" w:rsidRDefault="00A73F70" w:rsidP="003D5120">
            <w:pPr>
              <w:pStyle w:val="Inne0"/>
              <w:shd w:val="clear" w:color="auto" w:fill="auto"/>
              <w:spacing w:before="120" w:after="120"/>
              <w:ind w:left="131" w:right="138"/>
              <w:rPr>
                <w:rFonts w:ascii="Lato" w:eastAsia="Arial" w:hAnsi="Lato" w:cs="Arial"/>
                <w:sz w:val="18"/>
                <w:szCs w:val="18"/>
              </w:rPr>
            </w:pPr>
            <w:r w:rsidRPr="009521C9">
              <w:rPr>
                <w:rFonts w:ascii="Lato" w:eastAsia="Arial" w:hAnsi="Lato" w:cs="Arial"/>
                <w:sz w:val="18"/>
                <w:szCs w:val="18"/>
              </w:rPr>
              <w:t xml:space="preserve">Uwaga zostanie uwzględniona z modyfikacją na kolejnym etapie prac legislacyjnych. </w:t>
            </w:r>
          </w:p>
          <w:p w14:paraId="1006558E" w14:textId="49C56697" w:rsidR="00A73F70" w:rsidRPr="009521C9" w:rsidRDefault="00A73F70" w:rsidP="003D5120">
            <w:pPr>
              <w:pStyle w:val="Inne0"/>
              <w:shd w:val="clear" w:color="auto" w:fill="auto"/>
              <w:spacing w:before="120" w:after="120"/>
              <w:ind w:left="131" w:right="138"/>
              <w:rPr>
                <w:rFonts w:ascii="Lato" w:eastAsia="Arial" w:hAnsi="Lato" w:cs="Arial"/>
                <w:sz w:val="18"/>
                <w:szCs w:val="18"/>
              </w:rPr>
            </w:pPr>
            <w:r w:rsidRPr="009521C9">
              <w:rPr>
                <w:rFonts w:ascii="Lato" w:eastAsia="Arial" w:hAnsi="Lato" w:cs="Arial"/>
                <w:sz w:val="18"/>
                <w:szCs w:val="18"/>
              </w:rPr>
              <w:t xml:space="preserve">Należy wskazać, że zgłoszenie prac geodezyjnych jest działaniem technicznym i nie wyklucza możliwości realizacji prac geodezyjnych po „zamknięciu zgłoszenia”. Zgodnie z art. 12a ust. 1b-1c ustawy z dnia 17 maja 1989 r. – Prawo geodezyjne i kartograficzne niezłożenie zawiadomienia o przekazaniu wyników zgłoszonych prac geodezyjnych i nieprzekazanie tych wyników zgłoszonych prac geodezyjnych przed upływem przewidywanego terminu ich przekazania do organu Służby Geodezyjnej i Kartograficznej jest równoznaczne </w:t>
            </w:r>
            <w:r w:rsidRPr="009521C9">
              <w:rPr>
                <w:rFonts w:ascii="Lato" w:eastAsia="Arial" w:hAnsi="Lato" w:cs="Arial"/>
                <w:sz w:val="18"/>
                <w:szCs w:val="18"/>
              </w:rPr>
              <w:lastRenderedPageBreak/>
              <w:t>z zaniechaniem wykonywania tych prac, natomiast ponowne podjęcie zaniechanych prac geodezyjnych wymaga dokonania nowego zgłoszenia prac.</w:t>
            </w:r>
          </w:p>
          <w:p w14:paraId="74AAACE0" w14:textId="6DA82C20" w:rsidR="003D5120" w:rsidRPr="009521C9" w:rsidRDefault="00A73F70" w:rsidP="00A73F70">
            <w:pPr>
              <w:pStyle w:val="Inne0"/>
              <w:shd w:val="clear" w:color="auto" w:fill="auto"/>
              <w:spacing w:before="120" w:after="120"/>
              <w:ind w:left="131" w:right="138"/>
              <w:rPr>
                <w:rFonts w:ascii="Lato" w:eastAsia="Arial" w:hAnsi="Lato" w:cs="Arial"/>
                <w:sz w:val="18"/>
                <w:szCs w:val="18"/>
              </w:rPr>
            </w:pPr>
            <w:r w:rsidRPr="009521C9">
              <w:rPr>
                <w:rFonts w:ascii="Lato" w:eastAsia="Arial" w:hAnsi="Lato" w:cs="Arial"/>
                <w:sz w:val="18"/>
                <w:szCs w:val="18"/>
              </w:rPr>
              <w:t>W związku z powyższym dokonane zostanie dostosowanie brzmienia art. 15 projektu ustawy do ww. przepisów art. 12a ust. 1b-1c ustawy – Prawo geodezyjne i kartograficzne.</w:t>
            </w:r>
          </w:p>
        </w:tc>
      </w:tr>
      <w:tr w:rsidR="00FA234D" w:rsidRPr="009521C9" w14:paraId="2ABBA056" w14:textId="52B70E1A" w:rsidTr="003005A0">
        <w:trPr>
          <w:trHeight w:val="20"/>
        </w:trPr>
        <w:tc>
          <w:tcPr>
            <w:tcW w:w="709" w:type="dxa"/>
            <w:tcBorders>
              <w:top w:val="single" w:sz="4" w:space="0" w:color="auto"/>
              <w:left w:val="single" w:sz="4" w:space="0" w:color="auto"/>
              <w:bottom w:val="single" w:sz="4" w:space="0" w:color="auto"/>
            </w:tcBorders>
            <w:shd w:val="clear" w:color="auto" w:fill="FFFFFF"/>
          </w:tcPr>
          <w:p w14:paraId="76B7B75A" w14:textId="77777777" w:rsidR="00FA234D" w:rsidRPr="009521C9" w:rsidRDefault="00FA234D" w:rsidP="00B918CF">
            <w:pPr>
              <w:pStyle w:val="Inne0"/>
              <w:numPr>
                <w:ilvl w:val="0"/>
                <w:numId w:val="1"/>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0101E7B8" w14:textId="5D44E75E" w:rsidR="00FA234D" w:rsidRPr="009521C9" w:rsidRDefault="00EA4C87" w:rsidP="00E54DC7">
            <w:pPr>
              <w:pStyle w:val="Inne0"/>
              <w:shd w:val="clear" w:color="auto" w:fill="auto"/>
              <w:spacing w:before="120" w:after="120"/>
              <w:ind w:left="140"/>
              <w:rPr>
                <w:rFonts w:ascii="Lato" w:eastAsia="Arial" w:hAnsi="Lato" w:cs="Arial"/>
                <w:sz w:val="18"/>
                <w:szCs w:val="18"/>
              </w:rPr>
            </w:pPr>
            <w:r w:rsidRPr="009521C9">
              <w:rPr>
                <w:rFonts w:ascii="Lato" w:eastAsia="Arial" w:hAnsi="Lato" w:cs="Arial"/>
                <w:sz w:val="18"/>
                <w:szCs w:val="18"/>
              </w:rPr>
              <w:t>Minister Sprawiedliwości</w:t>
            </w:r>
          </w:p>
        </w:tc>
        <w:tc>
          <w:tcPr>
            <w:tcW w:w="5812" w:type="dxa"/>
            <w:tcBorders>
              <w:top w:val="single" w:sz="4" w:space="0" w:color="auto"/>
              <w:left w:val="single" w:sz="4" w:space="0" w:color="auto"/>
              <w:bottom w:val="single" w:sz="4" w:space="0" w:color="auto"/>
            </w:tcBorders>
            <w:shd w:val="clear" w:color="auto" w:fill="FFFFFF"/>
          </w:tcPr>
          <w:p w14:paraId="39AF09BD" w14:textId="77777777" w:rsidR="00FA234D" w:rsidRPr="009521C9" w:rsidRDefault="00EA4C87" w:rsidP="00E54DC7">
            <w:pPr>
              <w:pStyle w:val="Inne0"/>
              <w:shd w:val="clear" w:color="auto" w:fill="auto"/>
              <w:spacing w:before="120" w:after="120"/>
              <w:ind w:left="138" w:right="274"/>
              <w:rPr>
                <w:rFonts w:ascii="Lato" w:eastAsia="Arial" w:hAnsi="Lato" w:cs="Arial"/>
                <w:sz w:val="18"/>
                <w:szCs w:val="18"/>
              </w:rPr>
            </w:pPr>
            <w:r w:rsidRPr="009521C9">
              <w:rPr>
                <w:rFonts w:ascii="Lato" w:eastAsia="Arial" w:hAnsi="Lato" w:cs="Arial"/>
                <w:sz w:val="18"/>
                <w:szCs w:val="18"/>
              </w:rPr>
              <w:t>art. 1 pkt 26 projektu dodającego art. 24 b ust. 1a - 1 c</w:t>
            </w:r>
          </w:p>
          <w:p w14:paraId="7E39AF9A" w14:textId="159929AF" w:rsidR="00EA4C87" w:rsidRPr="009521C9" w:rsidRDefault="00EA4C87" w:rsidP="00E54DC7">
            <w:pPr>
              <w:pStyle w:val="Inne0"/>
              <w:spacing w:before="120" w:after="120"/>
              <w:ind w:left="138" w:right="274"/>
              <w:rPr>
                <w:rFonts w:ascii="Lato" w:eastAsia="Arial" w:hAnsi="Lato" w:cs="Arial"/>
                <w:sz w:val="18"/>
                <w:szCs w:val="18"/>
              </w:rPr>
            </w:pPr>
            <w:r w:rsidRPr="009521C9">
              <w:rPr>
                <w:rFonts w:ascii="Lato" w:eastAsia="Arial" w:hAnsi="Lato" w:cs="Arial"/>
                <w:sz w:val="18"/>
                <w:szCs w:val="18"/>
              </w:rPr>
              <w:t>Projektodawca błędnie utożsamia dopuszczalność elektronicznej transmisji dokumentów pomiędzy rejestrami publicznymi z dopuszczalnością uznania tych dokumentów za podstawę wpisu w postępowaniu wieczystoksięgowym. Są to dwie odrębne kwestie. Obowiązujące regulacje odnoszą się do sposobu komunikacji między systemami i nie przesądzają o zmianie modelu dowodowego w postępowaniu sądowym.</w:t>
            </w:r>
          </w:p>
          <w:p w14:paraId="0612AE58" w14:textId="77777777" w:rsidR="00EA4C87" w:rsidRPr="009521C9" w:rsidRDefault="00EA4C87" w:rsidP="00E54DC7">
            <w:pPr>
              <w:pStyle w:val="Inne0"/>
              <w:spacing w:before="120" w:after="120"/>
              <w:ind w:left="138" w:right="274"/>
              <w:rPr>
                <w:rFonts w:ascii="Lato" w:eastAsia="Arial" w:hAnsi="Lato" w:cs="Arial"/>
                <w:sz w:val="18"/>
                <w:szCs w:val="18"/>
              </w:rPr>
            </w:pPr>
            <w:r w:rsidRPr="009521C9">
              <w:rPr>
                <w:rFonts w:ascii="Lato" w:eastAsia="Arial" w:hAnsi="Lato" w:cs="Arial"/>
                <w:sz w:val="18"/>
                <w:szCs w:val="18"/>
              </w:rPr>
              <w:t>Dodatkowo należy wskazać, że w argumentacji projektodawcy dochodzi do istotnego pomieszania pojęć „formy” i „postaci” dokumentu. Tymczasem są to kategorie odrębne zarówno na gruncie doktryny, jak i obowiązujących przepisów. Forma dokumentu (np. forma pisemna, forma aktu notarialnego, forma urzędowa) odnosi się do wymogów prawnych determinujących skuteczność i dopuszczalność czynności prawnej lub procesowej, natomiast postać dokumentu (papierowa albo elektroniczna) dotyczy jedynie sposobu jego utrwalenia. Postać nie przesądza o formie, ani tym bardziej o skutkach prawnych dokumentu w konkretnym postępowaniu.</w:t>
            </w:r>
          </w:p>
          <w:p w14:paraId="3E56ACB3" w14:textId="60D0F21E" w:rsidR="00EA4C87" w:rsidRPr="009521C9" w:rsidRDefault="00EA4C87" w:rsidP="00E54DC7">
            <w:pPr>
              <w:pStyle w:val="Inne0"/>
              <w:spacing w:before="120" w:after="120"/>
              <w:ind w:left="138" w:right="274"/>
              <w:rPr>
                <w:rFonts w:ascii="Lato" w:eastAsia="Arial" w:hAnsi="Lato" w:cs="Arial"/>
                <w:sz w:val="18"/>
                <w:szCs w:val="18"/>
              </w:rPr>
            </w:pPr>
            <w:r w:rsidRPr="009521C9">
              <w:rPr>
                <w:rFonts w:ascii="Lato" w:eastAsia="Arial" w:hAnsi="Lato" w:cs="Arial"/>
                <w:sz w:val="18"/>
                <w:szCs w:val="18"/>
              </w:rPr>
              <w:t>Należy również podkreślić, że brak wyraźnego wskazania w ustawie o księgach wieczystych i hipotece postaci dokumentów stanowiących podstawę wpisu nie może być interpretowany jako dopuszczenie dowolności w tym zakresie. Postępowanie wieczystoksięgowe cechuje się wysokim stopniem formalizmu, a podstawą wpisu mogą być wyłącznie dokumenty spełniające rygorystyczne wymogi przewidziane w przepisach prawa. W tym kontekście brak wyraźnego zakazu nie może być utożsamiany z istnieniem podstawy prawnej do wprowadzenia projektowanego rozwiązania.</w:t>
            </w:r>
          </w:p>
          <w:p w14:paraId="1E2C225A" w14:textId="77777777" w:rsidR="00EA4C87" w:rsidRPr="009521C9" w:rsidRDefault="00EA4C87" w:rsidP="00E54DC7">
            <w:pPr>
              <w:pStyle w:val="Inne0"/>
              <w:spacing w:before="120" w:after="120"/>
              <w:ind w:left="138" w:right="274"/>
              <w:rPr>
                <w:rFonts w:ascii="Lato" w:eastAsia="Arial" w:hAnsi="Lato" w:cs="Arial"/>
                <w:sz w:val="18"/>
                <w:szCs w:val="18"/>
              </w:rPr>
            </w:pPr>
            <w:r w:rsidRPr="009521C9">
              <w:rPr>
                <w:rFonts w:ascii="Lato" w:eastAsia="Arial" w:hAnsi="Lato" w:cs="Arial"/>
                <w:sz w:val="18"/>
                <w:szCs w:val="18"/>
              </w:rPr>
              <w:t xml:space="preserve">Nie można również podzielić stanowiska projektodawcy w zakresie wykładni art. 31 ust. 1 ustawy o księgach wieczystych i hipotece. Przepis ten nie może być interpretowany w oderwaniu od całokształtu regulacji dotyczących postępowania wieczystoksięgowego oraz jego funkcji. O ile rzeczywiście ma on charakter przepisu określającego minimalne wymagania formalne dokumentu (ad </w:t>
            </w:r>
            <w:proofErr w:type="spellStart"/>
            <w:r w:rsidRPr="009521C9">
              <w:rPr>
                <w:rFonts w:ascii="Lato" w:eastAsia="Arial" w:hAnsi="Lato" w:cs="Arial"/>
                <w:sz w:val="18"/>
                <w:szCs w:val="18"/>
              </w:rPr>
              <w:t>intabulationem</w:t>
            </w:r>
            <w:proofErr w:type="spellEnd"/>
            <w:r w:rsidRPr="009521C9">
              <w:rPr>
                <w:rFonts w:ascii="Lato" w:eastAsia="Arial" w:hAnsi="Lato" w:cs="Arial"/>
                <w:sz w:val="18"/>
                <w:szCs w:val="18"/>
              </w:rPr>
              <w:t xml:space="preserve">), o tyle nie oznacza to dowolności w zakresie dopuszczalnej postaci dokumentu stanowiącego podstawę </w:t>
            </w:r>
            <w:r w:rsidRPr="009521C9">
              <w:rPr>
                <w:rFonts w:ascii="Lato" w:eastAsia="Arial" w:hAnsi="Lato" w:cs="Arial"/>
                <w:sz w:val="18"/>
                <w:szCs w:val="18"/>
              </w:rPr>
              <w:lastRenderedPageBreak/>
              <w:t>wpisu. Przeciwnie - obowiązujący model postępowania, ukształtowany zarówno przez przepisy, jak i utrwaloną praktykę oraz orzecznictwo, opiera się na dokumentach funkcjonujących w postaci umożliwiającej ich trwałe przechowywanie i weryfikację w aktach księgi wieczystej.</w:t>
            </w:r>
          </w:p>
          <w:p w14:paraId="1E2E8993" w14:textId="77777777" w:rsidR="00EA4C87" w:rsidRPr="009521C9" w:rsidRDefault="00EA4C87" w:rsidP="00E54DC7">
            <w:pPr>
              <w:pStyle w:val="Inne0"/>
              <w:spacing w:before="120" w:after="120"/>
              <w:ind w:left="138" w:right="274"/>
              <w:rPr>
                <w:rFonts w:ascii="Lato" w:eastAsia="Arial" w:hAnsi="Lato" w:cs="Arial"/>
                <w:sz w:val="18"/>
                <w:szCs w:val="18"/>
              </w:rPr>
            </w:pPr>
            <w:r w:rsidRPr="009521C9">
              <w:rPr>
                <w:rFonts w:ascii="Lato" w:eastAsia="Arial" w:hAnsi="Lato" w:cs="Arial"/>
                <w:sz w:val="18"/>
                <w:szCs w:val="18"/>
              </w:rPr>
              <w:t>Odnosząc się do argumentacji projektodawcy dotyczącej dokumentów urzędowych, należy podkreślić, że sam fakt, iż dokument urzędowy może być sporządzony w postaci elektronicznej, nie przesądza o jego przydatności jako podstawy wpisu w księdze wieczystej. Kluczowe znaczenie ma bowiem nie tylko jego charakter jako dokumentu urzędowego, ale również możliwość zapewnienia jego trwałości, integralności oraz dostępności w aktach sprawy. W obecnym stanie prawnym i technicznym warunki te nie są spełnione.</w:t>
            </w:r>
          </w:p>
          <w:p w14:paraId="4466F58A" w14:textId="074CE8BC" w:rsidR="00EA4C87" w:rsidRPr="009521C9" w:rsidRDefault="00EA4C87" w:rsidP="00E54DC7">
            <w:pPr>
              <w:pStyle w:val="Inne0"/>
              <w:spacing w:before="120" w:after="120"/>
              <w:ind w:left="138" w:right="274"/>
              <w:rPr>
                <w:rFonts w:ascii="Lato" w:eastAsia="Arial" w:hAnsi="Lato" w:cs="Arial"/>
                <w:sz w:val="18"/>
                <w:szCs w:val="18"/>
              </w:rPr>
            </w:pPr>
            <w:r w:rsidRPr="009521C9">
              <w:rPr>
                <w:rFonts w:ascii="Lato" w:eastAsia="Arial" w:hAnsi="Lato" w:cs="Arial"/>
                <w:sz w:val="18"/>
                <w:szCs w:val="18"/>
              </w:rPr>
              <w:t>W szczególności należy zwrócić uwagę, że projekt nie uwzględnia fundamentalnego elementu warunkującego możliwość funkcjonowania postulowanego modelu, tj. braku repozytorium dokumentów elektronicznych, które zapewniałoby ich przechowywanie, gromadzenie i udostępnianie w ramach postępowania wieczystoksięgowego. Do chwili obecnej taki system nie został zbudowany ani wdrożony. W konsekwencji „oryginał” dokumentu elektronicznego pozostawałby poza systemem sądowym, co stoi w sprzeczności z funkcją akt księgi wieczystej jako trwałego i kompletnego repozytorium podstaw wpisów. Należy podkreślić, że w postępowaniu wieczystoksięgowym dokument pełni funkcję szczególną - zastępuje w znacznej mierze klasyczne postępowanie dowodowe. Tym samym wymogi dotyczące dokumentów stanowiących podstawę wpisu muszą być interpretowane ściśle i systemowo, z uwzględnieniem funkcji ksiąg wieczystych jako rejestru publicznego zapewniającego bezpieczeństwo obrotu nieruchomościami.</w:t>
            </w:r>
          </w:p>
          <w:p w14:paraId="45FF2862" w14:textId="5BA27FC2" w:rsidR="00EA4C87" w:rsidRPr="009521C9" w:rsidRDefault="00EA4C87" w:rsidP="00E54DC7">
            <w:pPr>
              <w:pStyle w:val="Inne0"/>
              <w:spacing w:before="120" w:after="120"/>
              <w:ind w:left="138" w:right="274"/>
              <w:rPr>
                <w:rFonts w:ascii="Lato" w:eastAsia="Arial" w:hAnsi="Lato" w:cs="Arial"/>
                <w:sz w:val="18"/>
                <w:szCs w:val="18"/>
              </w:rPr>
            </w:pPr>
            <w:r w:rsidRPr="009521C9">
              <w:rPr>
                <w:rFonts w:ascii="Lato" w:eastAsia="Arial" w:hAnsi="Lato" w:cs="Arial"/>
                <w:sz w:val="18"/>
                <w:szCs w:val="18"/>
              </w:rPr>
              <w:t xml:space="preserve">W tym kontekście nie jest wystarczające, aby dokument był „urzędowy” - musi on dodatkowo istnieć w takiej postaci, która zapewnia jego trwałość, integralność i możliwość niezależnej weryfikacji w całym okresie przechowywania akt. W tym kontekście proponowany model, w którym sąd dokonuje wydruku dokumentów elektronicznych i nadaje im walor równoważny dokumentom źródłowym, należy ocenić jako rozwiązanie pozorne i systemowo wadliwe. Wydruk dokumentu elektronicznego nie jest ani oryginałem dokumentu, ani jego urzędowym odpisem - stanowi jedynie jego odwzorowanie, które nie zapewnia możliwości weryfikacji autentyczności i integralności w perspektywie długoterminowej. Wbrew stanowisku projektodawcy, rozwiązanie to nie wynika z obowiązujących przepisów, lecz prowadzi do ich istotnej reinterpretacji, a w konsekwencji do zmiany modelu postępowania wieczystoksięgowego bez dokonania odpowiednich </w:t>
            </w:r>
            <w:r w:rsidRPr="009521C9">
              <w:rPr>
                <w:rFonts w:ascii="Lato" w:eastAsia="Arial" w:hAnsi="Lato" w:cs="Arial"/>
                <w:sz w:val="18"/>
                <w:szCs w:val="18"/>
              </w:rPr>
              <w:lastRenderedPageBreak/>
              <w:t>zmian systemowych. W tej sytuacji próba nadania wydrukowi dokumentu elektronicznego mocy dokumentu stanowiącego podstawę wpisu stanowi w istocie obejście wymogów dotyczących formy dokumentu poprzez odwołanie się wyłącznie do jego postaci.</w:t>
            </w:r>
          </w:p>
          <w:p w14:paraId="68BD1526" w14:textId="77777777" w:rsidR="00EA4C87" w:rsidRPr="009521C9" w:rsidRDefault="00EA4C87" w:rsidP="00E54DC7">
            <w:pPr>
              <w:pStyle w:val="Inne0"/>
              <w:spacing w:before="120" w:after="120"/>
              <w:ind w:left="138" w:right="274"/>
              <w:rPr>
                <w:rFonts w:ascii="Lato" w:eastAsia="Arial" w:hAnsi="Lato" w:cs="Arial"/>
                <w:sz w:val="18"/>
                <w:szCs w:val="18"/>
              </w:rPr>
            </w:pPr>
            <w:r w:rsidRPr="009521C9">
              <w:rPr>
                <w:rFonts w:ascii="Lato" w:eastAsia="Arial" w:hAnsi="Lato" w:cs="Arial"/>
                <w:sz w:val="18"/>
                <w:szCs w:val="18"/>
              </w:rPr>
              <w:t>Podtrzymany zostaje również zarzut niezgodności projektowanego rozwiązania z konstrukcją art. 27 ust. 2 i 3 ustawy o księgach wieczystych i hipotece. Przepisy te jednoznacznie rozróżniają zawiadomienie jako czynność inicjującą postępowanie od dokumentów stanowiących podstawę wpisu. Projektowana regulacja prowadzi do zatarcia tej różnicy, co stanowi istotne naruszenie obowiązującego modelu postępowania wieczystoksięgowego. Wbrew twierdzeniom projektodawcy, powołanie się na przepisy Kodeksu postępowania cywilnego dopuszczające funkcjonowanie dokumentów elektronicznych nie uzasadnia projektowanej zmiany. Postępowanie wieczystoksięgowe ma charakter szczególny i podlega bardziej rygorystycznym zasadom, wynikającym z potrzeby zapewnienia bezpieczeństwa obrotu nieruchomościami oraz trwałości podstaw wpisów.</w:t>
            </w:r>
          </w:p>
          <w:p w14:paraId="38E1375C" w14:textId="77777777" w:rsidR="00EA4C87" w:rsidRPr="009521C9" w:rsidRDefault="00EA4C87" w:rsidP="00E54DC7">
            <w:pPr>
              <w:pStyle w:val="Inne0"/>
              <w:spacing w:before="120" w:after="120"/>
              <w:ind w:left="138" w:right="274"/>
              <w:rPr>
                <w:rFonts w:ascii="Lato" w:eastAsia="Arial" w:hAnsi="Lato" w:cs="Arial"/>
                <w:sz w:val="18"/>
                <w:szCs w:val="18"/>
              </w:rPr>
            </w:pPr>
            <w:r w:rsidRPr="009521C9">
              <w:rPr>
                <w:rFonts w:ascii="Lato" w:eastAsia="Arial" w:hAnsi="Lato" w:cs="Arial"/>
                <w:sz w:val="18"/>
                <w:szCs w:val="18"/>
              </w:rPr>
              <w:t>Ministerstwo podtrzymuje również stanowisko, że projektowana regulacja pomija kluczową funkcję akt księgi wieczystej jako trwałego i samodzielnego zbioru dokumentów stanowiących podstawę wpisów. Wprowadzenie rozwiązania opartego na dokumentach, których „oryginał” funkcjonuje poza aktami księgi wieczystej, prowadzi do osłabienia tej funkcji oraz uzależnienia możliwości weryfikacji od zewnętrznych systemów teleinformatycznych.</w:t>
            </w:r>
          </w:p>
          <w:p w14:paraId="3D13CFD2" w14:textId="149CAD78" w:rsidR="00EA4C87" w:rsidRPr="009521C9" w:rsidRDefault="00EA4C87" w:rsidP="00E54DC7">
            <w:pPr>
              <w:pStyle w:val="Inne0"/>
              <w:spacing w:before="120" w:after="120"/>
              <w:ind w:left="138" w:right="274"/>
              <w:rPr>
                <w:rFonts w:ascii="Lato" w:eastAsia="Arial" w:hAnsi="Lato" w:cs="Arial"/>
                <w:sz w:val="18"/>
                <w:szCs w:val="18"/>
              </w:rPr>
            </w:pPr>
            <w:r w:rsidRPr="009521C9">
              <w:rPr>
                <w:rFonts w:ascii="Lato" w:eastAsia="Arial" w:hAnsi="Lato" w:cs="Arial"/>
                <w:sz w:val="18"/>
                <w:szCs w:val="18"/>
              </w:rPr>
              <w:t>Odnosząc się do argumentu dotyczącego zakresu rękojmi wiary publicznej ksiąg wieczystych, należy wskazać, że brak objęcia działu I-O tą rękojmią nie uzasadnia obniżenia standardów dokumentowych. Dane zawarte w tym dziale mają fundamentalne znaczenie dla identyfikacji nieruchomości i prawidłowości obrotu, a ich wiarygodność powinna podlegać takim samym rygorom jak pozostałe działy księgi wieczystej.</w:t>
            </w:r>
          </w:p>
          <w:p w14:paraId="3C18722C" w14:textId="77777777" w:rsidR="00EA4C87" w:rsidRPr="009521C9" w:rsidRDefault="00EA4C87" w:rsidP="00E54DC7">
            <w:pPr>
              <w:pStyle w:val="Inne0"/>
              <w:spacing w:before="120" w:after="120"/>
              <w:ind w:left="138" w:right="274"/>
              <w:rPr>
                <w:rFonts w:ascii="Lato" w:eastAsia="Arial" w:hAnsi="Lato" w:cs="Arial"/>
                <w:sz w:val="18"/>
                <w:szCs w:val="18"/>
              </w:rPr>
            </w:pPr>
            <w:r w:rsidRPr="009521C9">
              <w:rPr>
                <w:rFonts w:ascii="Lato" w:eastAsia="Arial" w:hAnsi="Lato" w:cs="Arial"/>
                <w:sz w:val="18"/>
                <w:szCs w:val="18"/>
              </w:rPr>
              <w:t>Podtrzymany zostaje również zarzut naruszenia zasad spójności systemu prawa.</w:t>
            </w:r>
          </w:p>
          <w:p w14:paraId="10E0D562" w14:textId="77777777" w:rsidR="00EA4C87" w:rsidRPr="009521C9" w:rsidRDefault="00EA4C87" w:rsidP="00E54DC7">
            <w:pPr>
              <w:pStyle w:val="Inne0"/>
              <w:spacing w:before="120" w:after="120"/>
              <w:ind w:left="138" w:right="274"/>
              <w:rPr>
                <w:rFonts w:ascii="Lato" w:eastAsia="Arial" w:hAnsi="Lato" w:cs="Arial"/>
                <w:sz w:val="18"/>
                <w:szCs w:val="18"/>
              </w:rPr>
            </w:pPr>
            <w:r w:rsidRPr="009521C9">
              <w:rPr>
                <w:rFonts w:ascii="Lato" w:eastAsia="Arial" w:hAnsi="Lato" w:cs="Arial"/>
                <w:sz w:val="18"/>
                <w:szCs w:val="18"/>
              </w:rPr>
              <w:t>Projektowana regulacja ingeruje w materię dotyczącą podstaw wpisu w księdze wieczystej oraz przebiegu postępowania wieczystoksięgowego, która powinna być regulowana w ustawie o księgach wieczystych i hipotece oraz w Kodeksie postępowania cywilnego, a nie w ustawie - Prawo geodezyjne i kartograficzne.</w:t>
            </w:r>
          </w:p>
          <w:p w14:paraId="1C66CA73" w14:textId="77777777" w:rsidR="00EA4C87" w:rsidRPr="009521C9" w:rsidRDefault="00EA4C87" w:rsidP="00E54DC7">
            <w:pPr>
              <w:pStyle w:val="Inne0"/>
              <w:spacing w:before="120" w:after="120"/>
              <w:ind w:left="138" w:right="274"/>
              <w:rPr>
                <w:rFonts w:ascii="Lato" w:eastAsia="Arial" w:hAnsi="Lato" w:cs="Arial"/>
                <w:sz w:val="18"/>
                <w:szCs w:val="18"/>
              </w:rPr>
            </w:pPr>
            <w:r w:rsidRPr="009521C9">
              <w:rPr>
                <w:rFonts w:ascii="Lato" w:eastAsia="Arial" w:hAnsi="Lato" w:cs="Arial"/>
                <w:sz w:val="18"/>
                <w:szCs w:val="18"/>
              </w:rPr>
              <w:t>Należy również podkreślić, że projektowana regulacja prowadzi do faktycznego przeniesienia ciężaru organizacyjnego i finansowego na sądy. Zakłada ona bowiem, że to sądy będą:</w:t>
            </w:r>
          </w:p>
          <w:p w14:paraId="2E7159F2" w14:textId="2E0343B1" w:rsidR="00EA4C87" w:rsidRPr="009521C9" w:rsidRDefault="00EA4C87" w:rsidP="00B918CF">
            <w:pPr>
              <w:pStyle w:val="Inne0"/>
              <w:numPr>
                <w:ilvl w:val="0"/>
                <w:numId w:val="6"/>
              </w:numPr>
              <w:spacing w:before="120" w:after="120"/>
              <w:ind w:right="274"/>
              <w:rPr>
                <w:rFonts w:ascii="Lato" w:eastAsia="Arial" w:hAnsi="Lato" w:cs="Arial"/>
                <w:sz w:val="18"/>
                <w:szCs w:val="18"/>
              </w:rPr>
            </w:pPr>
            <w:r w:rsidRPr="009521C9">
              <w:rPr>
                <w:rFonts w:ascii="Lato" w:eastAsia="Arial" w:hAnsi="Lato" w:cs="Arial"/>
                <w:sz w:val="18"/>
                <w:szCs w:val="18"/>
              </w:rPr>
              <w:t xml:space="preserve">dokonywały wydruków dokumentów elektronicznych </w:t>
            </w:r>
            <w:r w:rsidRPr="009521C9">
              <w:rPr>
                <w:rFonts w:ascii="Lato" w:eastAsia="Arial" w:hAnsi="Lato" w:cs="Arial"/>
                <w:sz w:val="18"/>
                <w:szCs w:val="18"/>
              </w:rPr>
              <w:lastRenderedPageBreak/>
              <w:t>przekazanych za pośrednictwem Zintegrowanego Systemu Informacji o Nieruchomościach (dalej: ZSIN),</w:t>
            </w:r>
          </w:p>
          <w:p w14:paraId="4D946D48" w14:textId="552E22B1" w:rsidR="00EA4C87" w:rsidRPr="009521C9" w:rsidRDefault="00EA4C87" w:rsidP="00B918CF">
            <w:pPr>
              <w:pStyle w:val="Inne0"/>
              <w:numPr>
                <w:ilvl w:val="0"/>
                <w:numId w:val="6"/>
              </w:numPr>
              <w:spacing w:before="120" w:after="120"/>
              <w:ind w:right="274"/>
              <w:rPr>
                <w:rFonts w:ascii="Lato" w:eastAsia="Arial" w:hAnsi="Lato" w:cs="Arial"/>
                <w:sz w:val="18"/>
                <w:szCs w:val="18"/>
              </w:rPr>
            </w:pPr>
            <w:r w:rsidRPr="009521C9">
              <w:rPr>
                <w:rFonts w:ascii="Lato" w:eastAsia="Arial" w:hAnsi="Lato" w:cs="Arial"/>
                <w:sz w:val="18"/>
                <w:szCs w:val="18"/>
              </w:rPr>
              <w:t>włączały je do akt księgi wieczystej,</w:t>
            </w:r>
          </w:p>
          <w:p w14:paraId="5231513A" w14:textId="1F4BE4BE" w:rsidR="00EA4C87" w:rsidRPr="009521C9" w:rsidRDefault="00EA4C87" w:rsidP="00B918CF">
            <w:pPr>
              <w:pStyle w:val="Inne0"/>
              <w:numPr>
                <w:ilvl w:val="0"/>
                <w:numId w:val="6"/>
              </w:numPr>
              <w:spacing w:before="120" w:after="120"/>
              <w:ind w:right="274"/>
              <w:rPr>
                <w:rFonts w:ascii="Lato" w:eastAsia="Arial" w:hAnsi="Lato" w:cs="Arial"/>
                <w:sz w:val="18"/>
                <w:szCs w:val="18"/>
              </w:rPr>
            </w:pPr>
            <w:r w:rsidRPr="009521C9">
              <w:rPr>
                <w:rFonts w:ascii="Lato" w:eastAsia="Arial" w:hAnsi="Lato" w:cs="Arial"/>
                <w:sz w:val="18"/>
                <w:szCs w:val="18"/>
              </w:rPr>
              <w:t>ponosiły koszty materiałowe i organizacyjne związane z ich obsługą,</w:t>
            </w:r>
          </w:p>
          <w:p w14:paraId="4905F164" w14:textId="4F4FB497" w:rsidR="00EA4C87" w:rsidRPr="009521C9" w:rsidRDefault="00EA4C87" w:rsidP="00B918CF">
            <w:pPr>
              <w:pStyle w:val="Inne0"/>
              <w:numPr>
                <w:ilvl w:val="0"/>
                <w:numId w:val="6"/>
              </w:numPr>
              <w:spacing w:before="120" w:after="120"/>
              <w:ind w:right="274"/>
              <w:rPr>
                <w:rFonts w:ascii="Lato" w:eastAsia="Arial" w:hAnsi="Lato" w:cs="Arial"/>
                <w:sz w:val="18"/>
                <w:szCs w:val="18"/>
              </w:rPr>
            </w:pPr>
            <w:r w:rsidRPr="009521C9">
              <w:rPr>
                <w:rFonts w:ascii="Lato" w:eastAsia="Arial" w:hAnsi="Lato" w:cs="Arial"/>
                <w:sz w:val="18"/>
                <w:szCs w:val="18"/>
              </w:rPr>
              <w:t>realizowały dodatkowe czynności administracyjne.</w:t>
            </w:r>
          </w:p>
          <w:p w14:paraId="040A6292" w14:textId="77777777" w:rsidR="00EA4C87" w:rsidRPr="009521C9" w:rsidRDefault="00EA4C87" w:rsidP="00E54DC7">
            <w:pPr>
              <w:pStyle w:val="Inne0"/>
              <w:spacing w:before="120" w:after="120"/>
              <w:ind w:left="138" w:right="274"/>
              <w:rPr>
                <w:rFonts w:ascii="Lato" w:eastAsia="Arial" w:hAnsi="Lato" w:cs="Arial"/>
                <w:sz w:val="18"/>
                <w:szCs w:val="18"/>
              </w:rPr>
            </w:pPr>
            <w:r w:rsidRPr="009521C9">
              <w:rPr>
                <w:rFonts w:ascii="Lato" w:eastAsia="Arial" w:hAnsi="Lato" w:cs="Arial"/>
                <w:sz w:val="18"/>
                <w:szCs w:val="18"/>
              </w:rPr>
              <w:t>Stanowi to redystrybucję kosztów w ramach sektora finansów publicznych, bez zapewnienia adekwatnych środków finansowych, kadrowych i technicznych.</w:t>
            </w:r>
          </w:p>
          <w:p w14:paraId="4123203C" w14:textId="3FCFD687" w:rsidR="00EA4C87" w:rsidRPr="009521C9" w:rsidRDefault="00EA4C87" w:rsidP="00E54DC7">
            <w:pPr>
              <w:pStyle w:val="Inne0"/>
              <w:shd w:val="clear" w:color="auto" w:fill="auto"/>
              <w:spacing w:before="120" w:after="120"/>
              <w:ind w:left="138" w:right="274"/>
              <w:rPr>
                <w:rFonts w:ascii="Lato" w:eastAsia="Arial" w:hAnsi="Lato" w:cs="Arial"/>
                <w:sz w:val="18"/>
                <w:szCs w:val="18"/>
              </w:rPr>
            </w:pPr>
            <w:r w:rsidRPr="009521C9">
              <w:rPr>
                <w:rFonts w:ascii="Lato" w:eastAsia="Arial" w:hAnsi="Lato" w:cs="Arial"/>
                <w:sz w:val="18"/>
                <w:szCs w:val="18"/>
              </w:rPr>
              <w:t>W realiach funkcjonowania wydziałów wieczystoksięgowych doprowadzi to do wydłużenia postępowań i pogorszenia sprawności ich działania.</w:t>
            </w:r>
            <w:r w:rsidRPr="009521C9">
              <w:rPr>
                <w:rFonts w:ascii="Lato" w:eastAsia="Arial" w:hAnsi="Lato" w:cs="Arial"/>
                <w:sz w:val="18"/>
                <w:szCs w:val="18"/>
              </w:rPr>
              <w:tab/>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B9885F2" w14:textId="7AC0485B" w:rsidR="00FA234D" w:rsidRPr="009521C9" w:rsidRDefault="00EA4C87" w:rsidP="00E54DC7">
            <w:pPr>
              <w:pStyle w:val="Inne0"/>
              <w:shd w:val="clear" w:color="auto" w:fill="auto"/>
              <w:spacing w:before="120" w:after="120"/>
              <w:ind w:left="136" w:right="136"/>
              <w:rPr>
                <w:rFonts w:ascii="Lato" w:eastAsia="Arial" w:hAnsi="Lato" w:cs="Arial"/>
                <w:sz w:val="18"/>
                <w:szCs w:val="18"/>
              </w:rPr>
            </w:pPr>
            <w:r w:rsidRPr="009521C9">
              <w:rPr>
                <w:rFonts w:ascii="Lato" w:eastAsia="Arial" w:hAnsi="Lato" w:cs="Arial"/>
                <w:sz w:val="18"/>
                <w:szCs w:val="18"/>
              </w:rPr>
              <w:lastRenderedPageBreak/>
              <w:t>Wycofanie art. 1 pkt 26 projektu dodającego art. 24 b ust. 1a - 1 c</w:t>
            </w: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7ED785AC" w14:textId="21ED6649" w:rsidR="00A73F70" w:rsidRPr="009521C9" w:rsidRDefault="00A73F70" w:rsidP="00E54DC7">
            <w:pPr>
              <w:pStyle w:val="Inne0"/>
              <w:shd w:val="clear" w:color="auto" w:fill="auto"/>
              <w:spacing w:before="120" w:after="120"/>
              <w:ind w:left="131" w:right="138"/>
              <w:rPr>
                <w:rFonts w:ascii="Lato" w:eastAsia="Arial" w:hAnsi="Lato" w:cs="Arial"/>
                <w:sz w:val="18"/>
                <w:szCs w:val="18"/>
              </w:rPr>
            </w:pPr>
            <w:r w:rsidRPr="009521C9">
              <w:rPr>
                <w:rFonts w:ascii="Lato" w:eastAsia="Arial" w:hAnsi="Lato" w:cs="Arial"/>
                <w:sz w:val="18"/>
                <w:szCs w:val="18"/>
              </w:rPr>
              <w:t xml:space="preserve">Ministerstwo Rozwoju i Technologii podtrzymuje zawarte w lp. 72 tabeli z uzgodnień międzyresortowych przesłaną do Ministerstwa Sprawiedliwości przy piśmie </w:t>
            </w:r>
            <w:r w:rsidR="00A20D87">
              <w:rPr>
                <w:rFonts w:ascii="Lato" w:eastAsia="Arial" w:hAnsi="Lato" w:cs="Arial"/>
                <w:sz w:val="18"/>
                <w:szCs w:val="18"/>
              </w:rPr>
              <w:br/>
            </w:r>
            <w:r w:rsidRPr="009521C9">
              <w:rPr>
                <w:rFonts w:ascii="Lato" w:eastAsia="Arial" w:hAnsi="Lato" w:cs="Arial"/>
                <w:sz w:val="18"/>
                <w:szCs w:val="18"/>
              </w:rPr>
              <w:t>z dnia 17 kwietnia 2026 r.</w:t>
            </w:r>
          </w:p>
          <w:p w14:paraId="231A2EE9" w14:textId="2EEEE165" w:rsidR="00A73F70" w:rsidRPr="009521C9" w:rsidRDefault="00A73F70" w:rsidP="00A73F70">
            <w:pPr>
              <w:pStyle w:val="Inne0"/>
              <w:shd w:val="clear" w:color="auto" w:fill="auto"/>
              <w:spacing w:before="120" w:after="120"/>
              <w:ind w:left="131" w:right="138"/>
              <w:rPr>
                <w:rFonts w:ascii="Lato" w:eastAsia="Arial" w:hAnsi="Lato" w:cs="Arial"/>
                <w:sz w:val="18"/>
                <w:szCs w:val="18"/>
              </w:rPr>
            </w:pPr>
            <w:r w:rsidRPr="009521C9">
              <w:rPr>
                <w:rFonts w:ascii="Lato" w:eastAsia="Arial" w:hAnsi="Lato" w:cs="Arial"/>
                <w:sz w:val="18"/>
                <w:szCs w:val="18"/>
              </w:rPr>
              <w:t>Nie można zgodzić się ze stanowiskiem Ministerstwa Sprawiedliwości, że brak wyraźnego wskazania w ustawie z dnia 6 lipca 1982 r. o księgach wieczystych i hipotece postaci dokumentów stanowiących podstawę wpisu</w:t>
            </w:r>
            <w:r w:rsidR="009521C9">
              <w:rPr>
                <w:rFonts w:ascii="Lato" w:eastAsia="Arial" w:hAnsi="Lato" w:cs="Arial"/>
                <w:sz w:val="18"/>
                <w:szCs w:val="18"/>
              </w:rPr>
              <w:t xml:space="preserve"> do księgi wieczystej</w:t>
            </w:r>
            <w:r w:rsidRPr="009521C9">
              <w:rPr>
                <w:rFonts w:ascii="Lato" w:eastAsia="Arial" w:hAnsi="Lato" w:cs="Arial"/>
                <w:sz w:val="18"/>
                <w:szCs w:val="18"/>
              </w:rPr>
              <w:t xml:space="preserve"> nie może być interpretowany jako dopuszczenie dowolności w zakresie</w:t>
            </w:r>
            <w:r w:rsidR="009521C9">
              <w:rPr>
                <w:rFonts w:ascii="Lato" w:eastAsia="Arial" w:hAnsi="Lato" w:cs="Arial"/>
                <w:sz w:val="18"/>
                <w:szCs w:val="18"/>
              </w:rPr>
              <w:t xml:space="preserve"> postaci dokumentu</w:t>
            </w:r>
            <w:r w:rsidRPr="009521C9">
              <w:rPr>
                <w:rFonts w:ascii="Lato" w:eastAsia="Arial" w:hAnsi="Lato" w:cs="Arial"/>
                <w:sz w:val="18"/>
                <w:szCs w:val="18"/>
              </w:rPr>
              <w:t>.</w:t>
            </w:r>
            <w:r w:rsidR="00380D50" w:rsidRPr="009521C9">
              <w:rPr>
                <w:rFonts w:ascii="Lato" w:eastAsia="Arial" w:hAnsi="Lato" w:cs="Arial"/>
                <w:sz w:val="18"/>
                <w:szCs w:val="18"/>
              </w:rPr>
              <w:t xml:space="preserve"> </w:t>
            </w:r>
          </w:p>
          <w:p w14:paraId="1A6EFD98" w14:textId="0D055DD5" w:rsidR="009521C9" w:rsidRDefault="00380D50" w:rsidP="00E7794E">
            <w:pPr>
              <w:pStyle w:val="Inne0"/>
              <w:spacing w:before="120" w:after="120"/>
              <w:ind w:left="131" w:right="138"/>
              <w:rPr>
                <w:rFonts w:ascii="Lato" w:eastAsia="Arial" w:hAnsi="Lato" w:cs="Arial"/>
                <w:sz w:val="18"/>
                <w:szCs w:val="18"/>
              </w:rPr>
            </w:pPr>
            <w:r w:rsidRPr="009521C9">
              <w:rPr>
                <w:rFonts w:ascii="Lato" w:eastAsia="Arial" w:hAnsi="Lato" w:cs="Arial"/>
                <w:sz w:val="18"/>
                <w:szCs w:val="18"/>
              </w:rPr>
              <w:t>Należy również zauważyć, że przedstawiona argumentacja kładzie nacisk na „utrwaloną praktykę” funkcjonowania papierowych akt księgi wieczystej</w:t>
            </w:r>
            <w:r w:rsidR="00E7794E" w:rsidRPr="009521C9">
              <w:rPr>
                <w:rFonts w:ascii="Lato" w:eastAsia="Arial" w:hAnsi="Lato" w:cs="Arial"/>
                <w:sz w:val="18"/>
                <w:szCs w:val="18"/>
              </w:rPr>
              <w:t>, co</w:t>
            </w:r>
            <w:r w:rsidR="009521C9">
              <w:rPr>
                <w:rFonts w:ascii="Lato" w:eastAsia="Arial" w:hAnsi="Lato" w:cs="Arial"/>
                <w:sz w:val="18"/>
                <w:szCs w:val="18"/>
              </w:rPr>
              <w:t xml:space="preserve"> </w:t>
            </w:r>
            <w:r w:rsidR="00A20D87">
              <w:rPr>
                <w:rFonts w:ascii="Lato" w:eastAsia="Arial" w:hAnsi="Lato" w:cs="Arial"/>
                <w:sz w:val="18"/>
                <w:szCs w:val="18"/>
              </w:rPr>
              <w:br/>
            </w:r>
            <w:r w:rsidR="00E7794E" w:rsidRPr="009521C9">
              <w:rPr>
                <w:rFonts w:ascii="Lato" w:eastAsia="Arial" w:hAnsi="Lato" w:cs="Arial"/>
                <w:sz w:val="18"/>
                <w:szCs w:val="18"/>
              </w:rPr>
              <w:t xml:space="preserve">w opinii Ministerstwa Rozwoju i Technologii nie </w:t>
            </w:r>
            <w:r w:rsidR="009521C9">
              <w:rPr>
                <w:rFonts w:ascii="Lato" w:eastAsia="Arial" w:hAnsi="Lato" w:cs="Arial"/>
                <w:sz w:val="18"/>
                <w:szCs w:val="18"/>
              </w:rPr>
              <w:t>może być podstawą blokowania projektowanych przepisów, które są zgodne z obowiązującymi przepisami, lecz nie są w opinii Ministerstwa Sprawiedliwości zgodne z ww. praktyką.</w:t>
            </w:r>
            <w:r w:rsidR="00E7794E" w:rsidRPr="009521C9">
              <w:rPr>
                <w:rFonts w:ascii="Lato" w:eastAsia="Arial" w:hAnsi="Lato" w:cs="Arial"/>
                <w:sz w:val="18"/>
                <w:szCs w:val="18"/>
              </w:rPr>
              <w:t xml:space="preserve"> </w:t>
            </w:r>
          </w:p>
          <w:p w14:paraId="07E8B7F2" w14:textId="1131C69F" w:rsidR="009521C9" w:rsidRDefault="00E7794E" w:rsidP="00E7794E">
            <w:pPr>
              <w:pStyle w:val="Inne0"/>
              <w:spacing w:before="120" w:after="120"/>
              <w:ind w:left="131" w:right="138"/>
              <w:rPr>
                <w:rFonts w:ascii="Lato" w:eastAsia="Arial" w:hAnsi="Lato" w:cs="Arial"/>
                <w:sz w:val="18"/>
                <w:szCs w:val="18"/>
              </w:rPr>
            </w:pPr>
            <w:r w:rsidRPr="009521C9">
              <w:rPr>
                <w:rFonts w:ascii="Lato" w:eastAsia="Arial" w:hAnsi="Lato" w:cs="Arial"/>
                <w:sz w:val="18"/>
                <w:szCs w:val="18"/>
              </w:rPr>
              <w:t xml:space="preserve">Projektodawca podtrzymuje stanowisko, że </w:t>
            </w:r>
            <w:r w:rsidR="00A20D87">
              <w:rPr>
                <w:rFonts w:ascii="Lato" w:eastAsia="Arial" w:hAnsi="Lato" w:cs="Arial"/>
                <w:sz w:val="18"/>
                <w:szCs w:val="18"/>
              </w:rPr>
              <w:br/>
            </w:r>
            <w:r w:rsidRPr="009521C9">
              <w:rPr>
                <w:rFonts w:ascii="Lato" w:eastAsia="Arial" w:hAnsi="Lato" w:cs="Arial"/>
                <w:sz w:val="18"/>
                <w:szCs w:val="18"/>
              </w:rPr>
              <w:t xml:space="preserve">w </w:t>
            </w:r>
            <w:r w:rsidRPr="009521C9">
              <w:rPr>
                <w:rFonts w:ascii="Lato" w:hAnsi="Lato" w:cs="Calibri"/>
                <w:color w:val="auto"/>
                <w:sz w:val="18"/>
                <w:szCs w:val="18"/>
                <w:lang w:bidi="ar-SA"/>
              </w:rPr>
              <w:t xml:space="preserve">obowiązującym stanie prawnym brak jest przepisów, które uniemożliwiałyby dokonanie wpisu w księdze wieczystej wyłącznie na podstawie dokumentów przesłanych do sądów rejonowych w postaci papierowej, czego potwierdzeniem jest </w:t>
            </w:r>
            <w:r w:rsidRPr="009521C9">
              <w:rPr>
                <w:rFonts w:ascii="Lato" w:eastAsia="Arial" w:hAnsi="Lato" w:cs="Arial"/>
                <w:sz w:val="18"/>
                <w:szCs w:val="18"/>
                <w:u w:val="single"/>
              </w:rPr>
              <w:t>§ 259 i § 267 ust. 5 obowiązującego zarządzeni</w:t>
            </w:r>
            <w:r w:rsidR="009521C9">
              <w:rPr>
                <w:rFonts w:ascii="Lato" w:eastAsia="Arial" w:hAnsi="Lato" w:cs="Arial"/>
                <w:sz w:val="18"/>
                <w:szCs w:val="18"/>
                <w:u w:val="single"/>
              </w:rPr>
              <w:t>a</w:t>
            </w:r>
            <w:r w:rsidRPr="009521C9">
              <w:rPr>
                <w:rFonts w:ascii="Lato" w:eastAsia="Arial" w:hAnsi="Lato" w:cs="Arial"/>
                <w:sz w:val="18"/>
                <w:szCs w:val="18"/>
                <w:u w:val="single"/>
              </w:rPr>
              <w:t xml:space="preserve"> Ministra Sprawiedliwości </w:t>
            </w:r>
            <w:r w:rsidR="00A20D87">
              <w:rPr>
                <w:rFonts w:ascii="Lato" w:eastAsia="Arial" w:hAnsi="Lato" w:cs="Arial"/>
                <w:sz w:val="18"/>
                <w:szCs w:val="18"/>
                <w:u w:val="single"/>
              </w:rPr>
              <w:br/>
            </w:r>
            <w:r w:rsidRPr="009521C9">
              <w:rPr>
                <w:rFonts w:ascii="Lato" w:eastAsia="Arial" w:hAnsi="Lato" w:cs="Arial"/>
                <w:sz w:val="18"/>
                <w:szCs w:val="18"/>
                <w:u w:val="single"/>
              </w:rPr>
              <w:t xml:space="preserve">z 19 czerwca 2019 r. </w:t>
            </w:r>
            <w:hyperlink r:id="rId8" w:tgtFrame="_blank" w:history="1">
              <w:r w:rsidRPr="009521C9">
                <w:rPr>
                  <w:rFonts w:ascii="Lato" w:eastAsia="Arial" w:hAnsi="Lato" w:cs="Arial"/>
                  <w:sz w:val="18"/>
                  <w:szCs w:val="18"/>
                  <w:u w:val="single"/>
                </w:rPr>
                <w:t>w sprawie organizacji i zakresu działania sekretariatów sądowych oraz innych działów administracji sądowej</w:t>
              </w:r>
            </w:hyperlink>
            <w:r w:rsidRPr="009521C9">
              <w:rPr>
                <w:rFonts w:ascii="Lato" w:eastAsia="Arial" w:hAnsi="Lato" w:cs="Arial"/>
                <w:sz w:val="18"/>
                <w:szCs w:val="18"/>
              </w:rPr>
              <w:t xml:space="preserve"> (Dz.U. M.S. poz. 138). Powyższe zarządzenie zostało wydane na podstawie ustawy z dnia 27 lipca 2001 r. – Prawo o ustroju sądów powszechnych, które reguluje funkcjonowanie i organizację sądów wieczysto-księgowych. Gdyby przepisy ustawy o księgach wieczystych i hipotece nie dopuszczały elektronicznej formy przekazywania dokumentów będących podstawą wpisów w księgach wieczystych – Minister Sprawiedliwości nie zawarłby powyższych wytycznych w zarządzeniu regulującym</w:t>
            </w:r>
            <w:hyperlink r:id="rId9" w:tgtFrame="_blank" w:history="1">
              <w:r w:rsidRPr="009521C9">
                <w:rPr>
                  <w:rFonts w:ascii="Lato" w:eastAsia="Arial" w:hAnsi="Lato" w:cs="Arial"/>
                  <w:sz w:val="18"/>
                  <w:szCs w:val="18"/>
                </w:rPr>
                <w:t xml:space="preserve"> organizację </w:t>
              </w:r>
              <w:r w:rsidR="00A20D87">
                <w:rPr>
                  <w:rFonts w:ascii="Lato" w:eastAsia="Arial" w:hAnsi="Lato" w:cs="Arial"/>
                  <w:sz w:val="18"/>
                  <w:szCs w:val="18"/>
                </w:rPr>
                <w:br/>
              </w:r>
              <w:r w:rsidRPr="009521C9">
                <w:rPr>
                  <w:rFonts w:ascii="Lato" w:eastAsia="Arial" w:hAnsi="Lato" w:cs="Arial"/>
                  <w:sz w:val="18"/>
                  <w:szCs w:val="18"/>
                </w:rPr>
                <w:lastRenderedPageBreak/>
                <w:t>i zakres działania sekretariatów sądowych oraz innych działów administracji sądowej</w:t>
              </w:r>
            </w:hyperlink>
            <w:r w:rsidRPr="009521C9">
              <w:rPr>
                <w:rFonts w:ascii="Lato" w:eastAsia="Arial" w:hAnsi="Lato" w:cs="Arial"/>
                <w:sz w:val="18"/>
                <w:szCs w:val="18"/>
              </w:rPr>
              <w:t xml:space="preserve">. </w:t>
            </w:r>
          </w:p>
          <w:p w14:paraId="53A4D7AE" w14:textId="36404468" w:rsidR="00E7794E" w:rsidRPr="009521C9" w:rsidRDefault="009521C9" w:rsidP="009521C9">
            <w:pPr>
              <w:pStyle w:val="Inne0"/>
              <w:spacing w:before="120" w:after="120"/>
              <w:ind w:left="131" w:right="138"/>
              <w:rPr>
                <w:rFonts w:ascii="Lato" w:eastAsia="Arial" w:hAnsi="Lato" w:cs="Arial"/>
                <w:sz w:val="18"/>
                <w:szCs w:val="18"/>
              </w:rPr>
            </w:pPr>
            <w:r>
              <w:rPr>
                <w:rFonts w:ascii="Lato" w:eastAsia="Arial" w:hAnsi="Lato" w:cs="Arial"/>
                <w:sz w:val="18"/>
                <w:szCs w:val="18"/>
              </w:rPr>
              <w:t>Mając na względzie powyższe, uwagi Minist</w:t>
            </w:r>
            <w:r w:rsidR="000B4496">
              <w:rPr>
                <w:rFonts w:ascii="Lato" w:eastAsia="Arial" w:hAnsi="Lato" w:cs="Arial"/>
                <w:sz w:val="18"/>
                <w:szCs w:val="18"/>
              </w:rPr>
              <w:t>r</w:t>
            </w:r>
            <w:r>
              <w:rPr>
                <w:rFonts w:ascii="Lato" w:eastAsia="Arial" w:hAnsi="Lato" w:cs="Arial"/>
                <w:sz w:val="18"/>
                <w:szCs w:val="18"/>
              </w:rPr>
              <w:t xml:space="preserve">a Sprawiedliwości stojące w sprzeczności z </w:t>
            </w:r>
            <w:r w:rsidRPr="000B4496">
              <w:rPr>
                <w:rFonts w:ascii="Lato" w:eastAsia="Arial" w:hAnsi="Lato" w:cs="Arial"/>
                <w:sz w:val="18"/>
                <w:szCs w:val="18"/>
              </w:rPr>
              <w:t xml:space="preserve">obowiązującym zarządzeniem wydanym przez </w:t>
            </w:r>
            <w:r w:rsidR="000B4496" w:rsidRPr="000B4496">
              <w:rPr>
                <w:rFonts w:ascii="Lato" w:eastAsia="Arial" w:hAnsi="Lato" w:cs="Arial"/>
                <w:sz w:val="18"/>
                <w:szCs w:val="18"/>
              </w:rPr>
              <w:t xml:space="preserve">tego samego </w:t>
            </w:r>
            <w:r w:rsidRPr="000B4496">
              <w:rPr>
                <w:rFonts w:ascii="Lato" w:eastAsia="Arial" w:hAnsi="Lato" w:cs="Arial"/>
                <w:sz w:val="18"/>
                <w:szCs w:val="18"/>
              </w:rPr>
              <w:t>Ministra</w:t>
            </w:r>
            <w:r>
              <w:rPr>
                <w:rFonts w:ascii="Lato" w:eastAsia="Arial" w:hAnsi="Lato" w:cs="Arial"/>
                <w:sz w:val="18"/>
                <w:szCs w:val="18"/>
                <w:u w:val="single"/>
              </w:rPr>
              <w:t xml:space="preserve">, </w:t>
            </w:r>
            <w:r w:rsidRPr="009521C9">
              <w:rPr>
                <w:rFonts w:ascii="Lato" w:eastAsia="Arial" w:hAnsi="Lato" w:cs="Arial"/>
                <w:sz w:val="18"/>
                <w:szCs w:val="18"/>
              </w:rPr>
              <w:t>biorąc pod uwagę brak</w:t>
            </w:r>
            <w:r>
              <w:rPr>
                <w:rFonts w:ascii="Lato" w:eastAsia="Arial" w:hAnsi="Lato" w:cs="Arial"/>
                <w:sz w:val="18"/>
                <w:szCs w:val="18"/>
              </w:rPr>
              <w:t xml:space="preserve"> jednoznacznych przepisów</w:t>
            </w:r>
            <w:r w:rsidR="000B4496">
              <w:rPr>
                <w:rFonts w:ascii="Lato" w:eastAsia="Arial" w:hAnsi="Lato" w:cs="Arial"/>
                <w:sz w:val="18"/>
                <w:szCs w:val="18"/>
              </w:rPr>
              <w:t>, które</w:t>
            </w:r>
            <w:r>
              <w:rPr>
                <w:rFonts w:ascii="Lato" w:eastAsia="Arial" w:hAnsi="Lato" w:cs="Arial"/>
                <w:sz w:val="18"/>
                <w:szCs w:val="18"/>
              </w:rPr>
              <w:t xml:space="preserve"> zakaz</w:t>
            </w:r>
            <w:r w:rsidR="000B4496">
              <w:rPr>
                <w:rFonts w:ascii="Lato" w:eastAsia="Arial" w:hAnsi="Lato" w:cs="Arial"/>
                <w:sz w:val="18"/>
                <w:szCs w:val="18"/>
              </w:rPr>
              <w:t>ywałyby</w:t>
            </w:r>
            <w:r>
              <w:rPr>
                <w:rFonts w:ascii="Lato" w:eastAsia="Arial" w:hAnsi="Lato" w:cs="Arial"/>
                <w:sz w:val="18"/>
                <w:szCs w:val="18"/>
              </w:rPr>
              <w:t xml:space="preserve"> prze</w:t>
            </w:r>
            <w:r w:rsidR="000B4496">
              <w:rPr>
                <w:rFonts w:ascii="Lato" w:eastAsia="Arial" w:hAnsi="Lato" w:cs="Arial"/>
                <w:sz w:val="18"/>
                <w:szCs w:val="18"/>
              </w:rPr>
              <w:t>syłania</w:t>
            </w:r>
            <w:r>
              <w:rPr>
                <w:rFonts w:ascii="Lato" w:eastAsia="Arial" w:hAnsi="Lato" w:cs="Arial"/>
                <w:sz w:val="18"/>
                <w:szCs w:val="18"/>
              </w:rPr>
              <w:t xml:space="preserve"> </w:t>
            </w:r>
            <w:r w:rsidRPr="009521C9">
              <w:rPr>
                <w:rFonts w:ascii="Lato" w:hAnsi="Lato" w:cs="Calibri"/>
                <w:color w:val="auto"/>
                <w:sz w:val="18"/>
                <w:szCs w:val="18"/>
                <w:lang w:bidi="ar-SA"/>
              </w:rPr>
              <w:t xml:space="preserve">dokumentów do </w:t>
            </w:r>
            <w:r w:rsidR="000B4496">
              <w:rPr>
                <w:rFonts w:ascii="Lato" w:hAnsi="Lato" w:cs="Calibri"/>
                <w:color w:val="auto"/>
                <w:sz w:val="18"/>
                <w:szCs w:val="18"/>
                <w:lang w:bidi="ar-SA"/>
              </w:rPr>
              <w:t xml:space="preserve">wydziałów ksiąg wieczystych </w:t>
            </w:r>
            <w:r w:rsidRPr="009521C9">
              <w:rPr>
                <w:rFonts w:ascii="Lato" w:hAnsi="Lato" w:cs="Calibri"/>
                <w:color w:val="auto"/>
                <w:sz w:val="18"/>
                <w:szCs w:val="18"/>
                <w:lang w:bidi="ar-SA"/>
              </w:rPr>
              <w:t xml:space="preserve">sądów rejonowych w postaci </w:t>
            </w:r>
            <w:r w:rsidR="000B4496">
              <w:rPr>
                <w:rFonts w:ascii="Lato" w:hAnsi="Lato" w:cs="Calibri"/>
                <w:color w:val="auto"/>
                <w:sz w:val="18"/>
                <w:szCs w:val="18"/>
                <w:lang w:bidi="ar-SA"/>
              </w:rPr>
              <w:t>elektronicznej - n</w:t>
            </w:r>
            <w:r>
              <w:rPr>
                <w:rFonts w:ascii="Lato" w:eastAsia="Arial" w:hAnsi="Lato" w:cs="Arial"/>
                <w:sz w:val="18"/>
                <w:szCs w:val="18"/>
              </w:rPr>
              <w:t>ie mogą zostać uwzględnione.</w:t>
            </w:r>
          </w:p>
        </w:tc>
      </w:tr>
      <w:tr w:rsidR="00FA234D" w:rsidRPr="009521C9" w14:paraId="7128EE83" w14:textId="75F31F0D" w:rsidTr="003005A0">
        <w:trPr>
          <w:trHeight w:val="20"/>
        </w:trPr>
        <w:tc>
          <w:tcPr>
            <w:tcW w:w="709" w:type="dxa"/>
            <w:tcBorders>
              <w:top w:val="single" w:sz="4" w:space="0" w:color="auto"/>
              <w:left w:val="single" w:sz="4" w:space="0" w:color="auto"/>
              <w:bottom w:val="single" w:sz="4" w:space="0" w:color="auto"/>
            </w:tcBorders>
            <w:shd w:val="clear" w:color="auto" w:fill="FFFFFF"/>
          </w:tcPr>
          <w:p w14:paraId="25AE2712" w14:textId="77777777" w:rsidR="00FA234D" w:rsidRPr="009521C9" w:rsidRDefault="00FA234D" w:rsidP="00B918CF">
            <w:pPr>
              <w:pStyle w:val="Inne0"/>
              <w:numPr>
                <w:ilvl w:val="0"/>
                <w:numId w:val="1"/>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251D9E5B" w14:textId="11892202" w:rsidR="00FA234D" w:rsidRPr="009521C9" w:rsidRDefault="00EA4C87" w:rsidP="00E54DC7">
            <w:pPr>
              <w:pStyle w:val="Inne0"/>
              <w:shd w:val="clear" w:color="auto" w:fill="auto"/>
              <w:spacing w:before="120" w:after="120"/>
              <w:ind w:left="140"/>
              <w:rPr>
                <w:rFonts w:ascii="Lato" w:eastAsia="Arial" w:hAnsi="Lato" w:cs="Arial"/>
                <w:sz w:val="18"/>
                <w:szCs w:val="18"/>
              </w:rPr>
            </w:pPr>
            <w:r w:rsidRPr="009521C9">
              <w:rPr>
                <w:rFonts w:ascii="Lato" w:eastAsia="Arial" w:hAnsi="Lato" w:cs="Arial"/>
                <w:sz w:val="18"/>
                <w:szCs w:val="18"/>
              </w:rPr>
              <w:t>Minister Sprawiedliwości</w:t>
            </w:r>
          </w:p>
        </w:tc>
        <w:tc>
          <w:tcPr>
            <w:tcW w:w="5812" w:type="dxa"/>
            <w:tcBorders>
              <w:top w:val="single" w:sz="4" w:space="0" w:color="auto"/>
              <w:left w:val="single" w:sz="4" w:space="0" w:color="auto"/>
              <w:bottom w:val="single" w:sz="4" w:space="0" w:color="auto"/>
            </w:tcBorders>
            <w:shd w:val="clear" w:color="auto" w:fill="FFFFFF"/>
          </w:tcPr>
          <w:p w14:paraId="38450E7D" w14:textId="77777777" w:rsidR="00EA4C87" w:rsidRPr="009521C9" w:rsidRDefault="00EA4C87" w:rsidP="00E54DC7">
            <w:pPr>
              <w:pStyle w:val="Inne0"/>
              <w:spacing w:before="120" w:after="120"/>
              <w:ind w:left="138" w:right="274"/>
              <w:rPr>
                <w:rFonts w:ascii="Lato" w:eastAsia="Arial" w:hAnsi="Lato" w:cs="Arial"/>
                <w:sz w:val="18"/>
                <w:szCs w:val="18"/>
              </w:rPr>
            </w:pPr>
            <w:r w:rsidRPr="009521C9">
              <w:rPr>
                <w:rFonts w:ascii="Lato" w:eastAsia="Arial" w:hAnsi="Lato" w:cs="Arial"/>
                <w:sz w:val="18"/>
                <w:szCs w:val="18"/>
              </w:rPr>
              <w:t>Protokół Rozbieżności pkt. 14</w:t>
            </w:r>
          </w:p>
          <w:p w14:paraId="582F36BB" w14:textId="0E7116A0" w:rsidR="00EA4C87" w:rsidRPr="009521C9" w:rsidRDefault="00EA4C87" w:rsidP="00E54DC7">
            <w:pPr>
              <w:pStyle w:val="Inne0"/>
              <w:spacing w:before="120" w:after="120"/>
              <w:ind w:left="138" w:right="274"/>
              <w:rPr>
                <w:rFonts w:ascii="Lato" w:eastAsia="Arial" w:hAnsi="Lato" w:cs="Arial"/>
                <w:sz w:val="18"/>
                <w:szCs w:val="18"/>
              </w:rPr>
            </w:pPr>
            <w:r w:rsidRPr="009521C9">
              <w:rPr>
                <w:rFonts w:ascii="Lato" w:eastAsia="Arial" w:hAnsi="Lato" w:cs="Arial"/>
                <w:sz w:val="18"/>
                <w:szCs w:val="18"/>
              </w:rPr>
              <w:t>Projektodawca podtrzymuje w szczególności wyrażony w punkcie 14 Protokołu Rozbieżności pogląd, że obecne przepisy o postępowaniu wieczystoksięgowym nie przesądzają papierowego charakteru akt księgi wieczystej oraz że przepis art. 31 ust. 1 ustawy z dnia 6 lipca 1982 r. o księgach wieczystych i hipotece nie przesądza o papierowym charakterze dokumentu stanowiącego podstawę wpisu.</w:t>
            </w:r>
          </w:p>
          <w:p w14:paraId="26538FFB" w14:textId="77777777" w:rsidR="00EA4C87" w:rsidRPr="009521C9" w:rsidRDefault="00EA4C87" w:rsidP="00E54DC7">
            <w:pPr>
              <w:pStyle w:val="Inne0"/>
              <w:spacing w:before="120" w:after="120"/>
              <w:ind w:left="138" w:right="274"/>
              <w:rPr>
                <w:rFonts w:ascii="Lato" w:eastAsia="Arial" w:hAnsi="Lato" w:cs="Arial"/>
                <w:sz w:val="18"/>
                <w:szCs w:val="18"/>
              </w:rPr>
            </w:pPr>
            <w:r w:rsidRPr="009521C9">
              <w:rPr>
                <w:rFonts w:ascii="Lato" w:eastAsia="Arial" w:hAnsi="Lato" w:cs="Arial"/>
                <w:sz w:val="18"/>
                <w:szCs w:val="18"/>
              </w:rPr>
              <w:t>Ministerstwo Sprawiedliwości nie zgadza się z takim poglądem projektodawcy i podtrzymuje swoje stanowisko, że przepisy art. 251, art. 28, art. 361 ustawy o księgach wieczystych i hipotece nie przesądzają papierowego charakteru akt postępowania nie znajduje oparcia w pozostałych przepisach regulujących biurowość w sprawach wieczystoksięgowych oraz sposób postępowania z aktami księgi wieczystej. Wystarczy powołać przepis art. 361 ust. 3 ustawy o księgach wieczystych i hipotece, zgodnie z którym nie wydaje się z akt księgi dokumentów, jeśli stanowią podstawę wpisu, czy §261 zarządzenia Ministra Sprawiedliwości z 19 czerwca 2019 r. w sprawie organizacji i zakresu działania sekretariatów sądowych oraz innych działów administracji sądowej, według którego akta księgi wieczystej prowadzi się w twardych teczkach. Powołane przepisy nakładają na sądy i sekretariaty obowiązki charakterystyczne wyłącznie dla dokumentów o charakterze papierowym.</w:t>
            </w:r>
          </w:p>
          <w:p w14:paraId="6EC7672C" w14:textId="77777777" w:rsidR="00EA4C87" w:rsidRPr="009521C9" w:rsidRDefault="00EA4C87" w:rsidP="00E54DC7">
            <w:pPr>
              <w:pStyle w:val="Inne0"/>
              <w:spacing w:before="120" w:after="120"/>
              <w:ind w:left="138" w:right="274"/>
              <w:rPr>
                <w:rFonts w:ascii="Lato" w:eastAsia="Arial" w:hAnsi="Lato" w:cs="Arial"/>
                <w:sz w:val="18"/>
                <w:szCs w:val="18"/>
              </w:rPr>
            </w:pPr>
            <w:r w:rsidRPr="009521C9">
              <w:rPr>
                <w:rFonts w:ascii="Lato" w:eastAsia="Arial" w:hAnsi="Lato" w:cs="Arial"/>
                <w:sz w:val="18"/>
                <w:szCs w:val="18"/>
              </w:rPr>
              <w:t>Ministerstwo Sprawiedliwości wskazuje, że dopuszczenie elektronicznej formy akt księgi wieczystej wymaga przepisów wykonawczych określających ich strukturę, sposób powoływania, dopuszczalne formaty, metadane gromadzonych dokumentów i metadane sprawy. Obecne przepisy wykonawcze nie zawierają takich regulacji.</w:t>
            </w:r>
          </w:p>
          <w:p w14:paraId="78851616" w14:textId="4051D2B9" w:rsidR="00EA4C87" w:rsidRPr="009521C9" w:rsidRDefault="00EA4C87" w:rsidP="00E54DC7">
            <w:pPr>
              <w:pStyle w:val="Inne0"/>
              <w:spacing w:before="120" w:after="120"/>
              <w:ind w:left="138" w:right="274"/>
              <w:rPr>
                <w:rFonts w:ascii="Lato" w:eastAsia="Arial" w:hAnsi="Lato" w:cs="Arial"/>
                <w:sz w:val="18"/>
                <w:szCs w:val="18"/>
              </w:rPr>
            </w:pPr>
            <w:r w:rsidRPr="009521C9">
              <w:rPr>
                <w:rFonts w:ascii="Lato" w:eastAsia="Arial" w:hAnsi="Lato" w:cs="Arial"/>
                <w:sz w:val="18"/>
                <w:szCs w:val="18"/>
              </w:rPr>
              <w:t xml:space="preserve">Ministerstwo Sprawiedliwości podtrzymuje również stanowisko, że </w:t>
            </w:r>
            <w:r w:rsidRPr="009521C9">
              <w:rPr>
                <w:rFonts w:ascii="Lato" w:eastAsia="Arial" w:hAnsi="Lato" w:cs="Arial"/>
                <w:sz w:val="18"/>
                <w:szCs w:val="18"/>
              </w:rPr>
              <w:lastRenderedPageBreak/>
              <w:t xml:space="preserve">przewidziany w przepisie art. 31 ust. 1 in fine ustawy o księgach wieczystych o hipotece wyjątek od zasady dokumentu w formie z podpisem notarialnie poświadczonym jako generalnej podstawy wpisu nie oznacza upoważnienia ustawodawcy do przyznawania statusu podstawy wpisu w sposób abstrakcyjny, w oderwaniu od pozostałych przepisów ustawowych, regulujących postępowanie wieczystoksięgowe. Powołany w odpowiedzi na uwagę przepis § 35 ust. 4 rozporządzenia z dnia 27 lipca 2021 r. w sprawie ewidencji gruntów i budynków nie dotyczy przy tym dokumentu stanowiącego de lege lata podstawę wpisu i nie może stanowić podstawy do poparcia poglądu, że aktualnie obowiązujące przepisy przewidują podstawę oznaczenia nieruchomości w księdze wieczystej w formie elektronicznej. Przesądza o tym treść art. 27 ust. 3 ustawy o księgach wieczystych, zgodnie z którym do zawiadomienia, o którym mowa w §35 ust. 4 rozporządzenia z dnia 27 lipca 2021 r. w sprawie ewidencji gruntów i budynków dołącza się wypis z operatu katastralnego, a gdy jest to niezbędne - także </w:t>
            </w:r>
            <w:proofErr w:type="spellStart"/>
            <w:r w:rsidRPr="009521C9">
              <w:rPr>
                <w:rFonts w:ascii="Lato" w:eastAsia="Arial" w:hAnsi="Lato" w:cs="Arial"/>
                <w:sz w:val="18"/>
                <w:szCs w:val="18"/>
              </w:rPr>
              <w:t>wyrys</w:t>
            </w:r>
            <w:proofErr w:type="spellEnd"/>
            <w:r w:rsidRPr="009521C9">
              <w:rPr>
                <w:rFonts w:ascii="Lato" w:eastAsia="Arial" w:hAnsi="Lato" w:cs="Arial"/>
                <w:sz w:val="18"/>
                <w:szCs w:val="18"/>
              </w:rPr>
              <w:t xml:space="preserve"> z mapy katastralnej lub inny dokument stanowiący podstawę sprostowania oznaczenia nieruchomości. Stanowisko projektodawcy nie znajduje także oparcia w świetle przepisu §28 ust. 1-3 rozporządzenia Ministra Sprawiedliwości z dnia 17 września 2001 r. w sprawie prowadzenia ksiąg wieczystych i zbiorów dokumentów, zgodnie z którymi podstawę oznaczenia nieruchomości gruntowych i budynkowych w księdze wieczystej stanowią </w:t>
            </w:r>
            <w:proofErr w:type="spellStart"/>
            <w:r w:rsidRPr="009521C9">
              <w:rPr>
                <w:rFonts w:ascii="Lato" w:eastAsia="Arial" w:hAnsi="Lato" w:cs="Arial"/>
                <w:sz w:val="18"/>
                <w:szCs w:val="18"/>
              </w:rPr>
              <w:t>wyrys</w:t>
            </w:r>
            <w:proofErr w:type="spellEnd"/>
            <w:r w:rsidRPr="009521C9">
              <w:rPr>
                <w:rFonts w:ascii="Lato" w:eastAsia="Arial" w:hAnsi="Lato" w:cs="Arial"/>
                <w:sz w:val="18"/>
                <w:szCs w:val="18"/>
              </w:rPr>
              <w:t xml:space="preserve"> z mapy ewidencyjnej i </w:t>
            </w:r>
            <w:proofErr w:type="spellStart"/>
            <w:r w:rsidRPr="009521C9">
              <w:rPr>
                <w:rFonts w:ascii="Lato" w:eastAsia="Arial" w:hAnsi="Lato" w:cs="Arial"/>
                <w:sz w:val="18"/>
                <w:szCs w:val="18"/>
              </w:rPr>
              <w:t>wyrys</w:t>
            </w:r>
            <w:proofErr w:type="spellEnd"/>
            <w:r w:rsidRPr="009521C9">
              <w:rPr>
                <w:rFonts w:ascii="Lato" w:eastAsia="Arial" w:hAnsi="Lato" w:cs="Arial"/>
                <w:sz w:val="18"/>
                <w:szCs w:val="18"/>
              </w:rPr>
              <w:t xml:space="preserve"> z rejestru gruntów, zaopatrzone w klauzulę właściwego organu prowadzącego ewidencję gruntów i budynków stwierdzającą, że przeznaczone są do dokonywania wpisów w księgach wieczystych. Oznacza to, że przepis §35 ust. 4 rozporządzenia z dnia 27 lipca 2021 r. w sprawie ewidencji gruntów i budynków dotyczy wyłącznie formy zawiadomienia o zmianach ewidencyjnych, które stanowi przesłankę wszczęcia postępowania z urzędu o zmianę oznaczenia nieruchomości w księdze wieczystej i nie rozstrzyga o elektronicznej postaci dokumentu stanowiącego podstawę takiej zmiany w księdze wieczystej.</w:t>
            </w:r>
          </w:p>
          <w:p w14:paraId="1ECCCCE9" w14:textId="69C7D9F2" w:rsidR="00EA4C87" w:rsidRPr="009521C9" w:rsidRDefault="00EA4C87" w:rsidP="00E54DC7">
            <w:pPr>
              <w:pStyle w:val="Inne0"/>
              <w:spacing w:before="120" w:after="120"/>
              <w:ind w:left="138" w:right="274"/>
              <w:rPr>
                <w:rFonts w:ascii="Lato" w:eastAsia="Arial" w:hAnsi="Lato" w:cs="Arial"/>
                <w:sz w:val="18"/>
                <w:szCs w:val="18"/>
              </w:rPr>
            </w:pPr>
            <w:r w:rsidRPr="009521C9">
              <w:rPr>
                <w:rFonts w:ascii="Lato" w:eastAsia="Arial" w:hAnsi="Lato" w:cs="Arial"/>
                <w:sz w:val="18"/>
                <w:szCs w:val="18"/>
              </w:rPr>
              <w:t>Podobnie należy wskazać, że przepis art. 626</w:t>
            </w:r>
            <w:r w:rsidRPr="009521C9">
              <w:rPr>
                <w:rFonts w:ascii="Lato" w:eastAsia="Arial" w:hAnsi="Lato" w:cs="Arial"/>
                <w:sz w:val="18"/>
                <w:szCs w:val="18"/>
                <w:vertAlign w:val="superscript"/>
              </w:rPr>
              <w:t>2</w:t>
            </w:r>
            <w:r w:rsidRPr="009521C9">
              <w:rPr>
                <w:rFonts w:ascii="Lato" w:eastAsia="Arial" w:hAnsi="Lato" w:cs="Arial"/>
                <w:sz w:val="18"/>
                <w:szCs w:val="18"/>
              </w:rPr>
              <w:t>§3 k.p.c., zgodnie z którym do wniosku należy dołączyć dokumenty stanowiący podstawę wpisu wyłączają stosowanie w postępowaniu wieczystoksięgowym przepisów o przeprowadzaniu dowodów dokumentów wprost i z tego względu nie sposób wywodzić na podstawie przepisu art. 250 i następnych k.p.c. poglądów o wynikającym z aktualnego stanu prawnego obowiązku orzekania na podstawie dokumentów elektronicznych.</w:t>
            </w:r>
          </w:p>
          <w:p w14:paraId="31DDB9F9" w14:textId="77777777" w:rsidR="00EA4C87" w:rsidRPr="009521C9" w:rsidRDefault="00EA4C87" w:rsidP="00E54DC7">
            <w:pPr>
              <w:pStyle w:val="Inne0"/>
              <w:spacing w:before="120" w:after="120"/>
              <w:ind w:left="138" w:right="274"/>
              <w:rPr>
                <w:rFonts w:ascii="Lato" w:eastAsia="Arial" w:hAnsi="Lato" w:cs="Arial"/>
                <w:sz w:val="18"/>
                <w:szCs w:val="18"/>
              </w:rPr>
            </w:pPr>
            <w:r w:rsidRPr="009521C9">
              <w:rPr>
                <w:rFonts w:ascii="Lato" w:eastAsia="Arial" w:hAnsi="Lato" w:cs="Arial"/>
                <w:sz w:val="18"/>
                <w:szCs w:val="18"/>
              </w:rPr>
              <w:t xml:space="preserve">Konsekwentnie nie sposób przyjąć, że brak objęcia wpisów w dziale I-O rękojmią wiary publicznej ksiąg wieczystych zezwala na dowolne ukształtowanie formy dokumentów stanowiących zmianę podstawy oznaczenia nieruchomości, w oderwaniu od pozostałych </w:t>
            </w:r>
            <w:r w:rsidRPr="009521C9">
              <w:rPr>
                <w:rFonts w:ascii="Lato" w:eastAsia="Arial" w:hAnsi="Lato" w:cs="Arial"/>
                <w:sz w:val="18"/>
                <w:szCs w:val="18"/>
              </w:rPr>
              <w:lastRenderedPageBreak/>
              <w:t>przepisów oraz możliwości technicznych sądów wieczystoksięgowych, które obecnie nie są przygotowane do przechowywania dokumentów elektronicznych. Wyłączenie rękojmi wynika z natury wpisów w dziale I-O (dotyczą raczej stanu faktycznego, niż stanu prawnego) i nie stanowi podstawy do odmiennego traktowania wpisów związanych z oznaczeniem nieruchomości w odróżnieniu od wpisów w pozostałych działach księgi wieczystej.</w:t>
            </w:r>
          </w:p>
          <w:p w14:paraId="22344932" w14:textId="77777777" w:rsidR="00EA4C87" w:rsidRPr="009521C9" w:rsidRDefault="00EA4C87" w:rsidP="00E54DC7">
            <w:pPr>
              <w:pStyle w:val="Inne0"/>
              <w:spacing w:before="120" w:after="120"/>
              <w:ind w:left="138" w:right="274"/>
              <w:rPr>
                <w:rFonts w:ascii="Lato" w:eastAsia="Arial" w:hAnsi="Lato" w:cs="Arial"/>
                <w:sz w:val="18"/>
                <w:szCs w:val="18"/>
              </w:rPr>
            </w:pPr>
            <w:r w:rsidRPr="009521C9">
              <w:rPr>
                <w:rFonts w:ascii="Lato" w:eastAsia="Arial" w:hAnsi="Lato" w:cs="Arial"/>
                <w:sz w:val="18"/>
                <w:szCs w:val="18"/>
              </w:rPr>
              <w:t>Ministerstwo Sprawiedliwości podtrzymuje stanowisko wyrażone w piśmie z dnia 22 stycznia 2026 r., że przepisy §259 i §267 ust. 5 zarządzenia Ministra Sprawiedliwości z 19 czerwca 2019 r. w sprawie organizacji i zakresu działania sekretariatów sądowych oraz innych działów administracji sądowej nie stanowią wystarczającej podstawę obowiązku procedowania przez sąd wieczystoksięgowy na podstawie zawiadomień o zmianie oznaczenia nieruchomości przesłanych w formie elektronicznych przez ZSIN i nie nadają tym dokumentom walor podstawy wpisu w postępowaniu wieczystoksięgowym.</w:t>
            </w:r>
          </w:p>
          <w:p w14:paraId="3A5A0C45" w14:textId="0CED6FC9" w:rsidR="00EA4C87" w:rsidRPr="009521C9" w:rsidRDefault="00EA4C87" w:rsidP="00E54DC7">
            <w:pPr>
              <w:pStyle w:val="Inne0"/>
              <w:spacing w:before="120" w:after="120"/>
              <w:ind w:left="138" w:right="274"/>
              <w:rPr>
                <w:rFonts w:ascii="Lato" w:eastAsia="Arial" w:hAnsi="Lato" w:cs="Arial"/>
                <w:sz w:val="18"/>
                <w:szCs w:val="18"/>
              </w:rPr>
            </w:pPr>
            <w:r w:rsidRPr="009521C9">
              <w:rPr>
                <w:rFonts w:ascii="Lato" w:eastAsia="Arial" w:hAnsi="Lato" w:cs="Arial"/>
                <w:sz w:val="18"/>
                <w:szCs w:val="18"/>
              </w:rPr>
              <w:t>Należy zauważyć, że powyższe przepisy nie zostały zamieszczone w akcie prawnym rangi ustawowej. Zarządzenia ministrów nie są wymienione w zamkniętym katalogu źródeł powszechnie obowiązującego prawa Rzeczypospolitej Polskiej, zamieszczonym w art. 87 ust.1 Konstytucji Rzeczypospolitej Polskiej. Zgodnie z art. 93 ust. 1 Konstytucji RP zarządzenia Ministrów mają charakter wewnętrzny i obowiązują tylko jednostki organizacyjnie podległe organowi wydającemu te akty. Zgodnie z art. 93 ust. 2 zdanie drugie Konstytucji RP zarządzenia nie mogą stanowić podstawy decyzji wobec obywateli, osób prawnych oraz innych podmiotów. Natomiast wpis do księgi wieczystej, także obejmujący sprostowanie oznaczenia nieruchomości w dziale I-O księgi wieczystej jest na mocy przepisu art. 6268§6 Kodeksu postępowania orzeczeniem. Minister Sprawiedliwości, kierując się powyższymi regułami, w omawianym przepisie §259 zarządzenia z dnia 19 czerwca 2019 r., ograniczył się wyłącznie do nakazania sekretariatom sądowym (nie zaś sądom wieczystoksięgowym, w których orzekają sędziowie i referendarze sądowi), jako podległym sobie jednostkom organizacyjnym, do podjęcia w stosunku do dokumentów elektronicznych przekazywanym w ramach zintegrowanego systemu informacji o nieruchomościach czynności o charakterze wyłącznie technicznym, jakimi są ich wydrukowanie i dołączenie do akt księgi wieczystej w porządku chronologicznym. Jedynie na marginesie wypada zaznaczyć, że taki rodzaj obowiązków potwierdza tezę o czysto papierowym charakterze postępowania wieczystoksięgowego z urzędu o zmianę oznaczenia nieruchomości w księdze wieczystej de lege lata.</w:t>
            </w:r>
          </w:p>
          <w:p w14:paraId="4DF0A91A" w14:textId="481FCFC8" w:rsidR="00EA4C87" w:rsidRPr="009521C9" w:rsidRDefault="00EA4C87" w:rsidP="00E54DC7">
            <w:pPr>
              <w:pStyle w:val="Inne0"/>
              <w:spacing w:before="120" w:after="120"/>
              <w:ind w:left="138" w:right="274"/>
              <w:rPr>
                <w:rFonts w:ascii="Lato" w:eastAsia="Arial" w:hAnsi="Lato" w:cs="Arial"/>
                <w:sz w:val="18"/>
                <w:szCs w:val="18"/>
              </w:rPr>
            </w:pPr>
            <w:r w:rsidRPr="009521C9">
              <w:rPr>
                <w:rFonts w:ascii="Lato" w:eastAsia="Arial" w:hAnsi="Lato" w:cs="Arial"/>
                <w:sz w:val="18"/>
                <w:szCs w:val="18"/>
              </w:rPr>
              <w:t xml:space="preserve">Natomiast przepis §267 ust. 5 zarządzenia Ministra Sprawiedliwości </w:t>
            </w:r>
            <w:r w:rsidRPr="009521C9">
              <w:rPr>
                <w:rFonts w:ascii="Lato" w:eastAsia="Arial" w:hAnsi="Lato" w:cs="Arial"/>
                <w:sz w:val="18"/>
                <w:szCs w:val="18"/>
              </w:rPr>
              <w:lastRenderedPageBreak/>
              <w:t>z 19 czerwca 2019 r. w sprawie organizacji i zakresu działania sekretariatów sądowych oraz innych działów administracji sądowej stanowi tylko opis funkcjonalności systemu teleinformatycznego obsługującego biurowość wydziałów wieczystoksięgowych sądów rejonowych w przypadku jego pełnej integracji z Zintegrowanym Systemem Informacji o Nieruchomościach, która jest planowana w związku z prowadzonymi w Ministerstwie Sprawiedliwości pracami nad cyfryzacją postępowania wieczystoksięgowego oraz wprowadzeniem hybrydowych akt księgi wieczystej, w postaci papierowej oraz cyfrowej. Posłużenie się zwrotem „są automatycznie rejestrowane” stanowi opis działania programu komputerowego, natomiast nie stanowi źródła normy kompetencyjnej dla działania sekretarza sądowego ani referendarza sądowego czy sędziego.</w:t>
            </w:r>
          </w:p>
          <w:p w14:paraId="25415C8B" w14:textId="6A10A630" w:rsidR="00EA4C87" w:rsidRPr="009521C9" w:rsidRDefault="00EA4C87" w:rsidP="00E54DC7">
            <w:pPr>
              <w:pStyle w:val="Inne0"/>
              <w:spacing w:before="120" w:after="120"/>
              <w:ind w:left="138" w:right="274"/>
              <w:rPr>
                <w:rFonts w:ascii="Lato" w:eastAsia="Arial" w:hAnsi="Lato" w:cs="Arial"/>
                <w:sz w:val="18"/>
                <w:szCs w:val="18"/>
              </w:rPr>
            </w:pPr>
            <w:r w:rsidRPr="009521C9">
              <w:rPr>
                <w:rFonts w:ascii="Lato" w:eastAsia="Arial" w:hAnsi="Lato" w:cs="Arial"/>
                <w:sz w:val="18"/>
                <w:szCs w:val="18"/>
              </w:rPr>
              <w:t>W tym stanie rzeczy nie sposób zgodzić się ze stanowiskiem projektodawcy, że projekt stanowi realizację obowiązków już nałożonych na sądy oraz że sądy dysponują systemem teleinformatycznym do prowadzenia akt księgi wieczystej. Obecne przepisy nakładają na Ministra Sprawiedliwości obowiązek utrzymywania systemu teleinformatycznego do zakładania i prowadzenia ksiąg wieczystych (art. 251 ustawy z dnia 6 lipca 1982 r. o księgach wieczystych i hipotece, przy czym księga wieczysta jest urządzeniem całkowicie odmiennym od akt księgi wieczystej, o czym przesądza treść art. 28 ustawy o księgach wieczystych i hipotece), centralnej bazy danych ksiąg wieczystych (art. 363 ust. 1 ustawy o księgach wieczystych i hipotece), Centralnej Informacji Ksiąg Wieczystych (art. 363 ust. 1 ustawy o księgach wieczystych i hipotece) oraz prowadzenia w systemie teleinformatycznym repertoriów ,,</w:t>
            </w:r>
            <w:proofErr w:type="spellStart"/>
            <w:r w:rsidRPr="009521C9">
              <w:rPr>
                <w:rFonts w:ascii="Lato" w:eastAsia="Arial" w:hAnsi="Lato" w:cs="Arial"/>
                <w:sz w:val="18"/>
                <w:szCs w:val="18"/>
              </w:rPr>
              <w:t>Kw</w:t>
            </w:r>
            <w:proofErr w:type="spellEnd"/>
            <w:r w:rsidRPr="009521C9">
              <w:rPr>
                <w:rFonts w:ascii="Lato" w:eastAsia="Arial" w:hAnsi="Lato" w:cs="Arial"/>
                <w:sz w:val="18"/>
                <w:szCs w:val="18"/>
              </w:rPr>
              <w:t>'' i ''Ar'', dzienników ,,</w:t>
            </w:r>
            <w:proofErr w:type="spellStart"/>
            <w:r w:rsidRPr="009521C9">
              <w:rPr>
                <w:rFonts w:ascii="Lato" w:eastAsia="Arial" w:hAnsi="Lato" w:cs="Arial"/>
                <w:sz w:val="18"/>
                <w:szCs w:val="18"/>
              </w:rPr>
              <w:t>Kw</w:t>
            </w:r>
            <w:proofErr w:type="spellEnd"/>
            <w:r w:rsidRPr="009521C9">
              <w:rPr>
                <w:rFonts w:ascii="Lato" w:eastAsia="Arial" w:hAnsi="Lato" w:cs="Arial"/>
                <w:sz w:val="18"/>
                <w:szCs w:val="18"/>
              </w:rPr>
              <w:t>'', ,,</w:t>
            </w:r>
            <w:proofErr w:type="spellStart"/>
            <w:r w:rsidRPr="009521C9">
              <w:rPr>
                <w:rFonts w:ascii="Lato" w:eastAsia="Arial" w:hAnsi="Lato" w:cs="Arial"/>
                <w:sz w:val="18"/>
                <w:szCs w:val="18"/>
              </w:rPr>
              <w:t>Odp</w:t>
            </w:r>
            <w:proofErr w:type="spellEnd"/>
            <w:r w:rsidRPr="009521C9">
              <w:rPr>
                <w:rFonts w:ascii="Lato" w:eastAsia="Arial" w:hAnsi="Lato" w:cs="Arial"/>
                <w:sz w:val="18"/>
                <w:szCs w:val="18"/>
              </w:rPr>
              <w:t>'' i ''Ko'' oraz kontrolki terminowego sporządzania uzasadnień orzeczeń i załatwiania środków odwoławczych i środków zaskarżenia (§262 ust. 2 zarządzenia Ministra Sprawiedliwości z 19 czerwca 2019 r. w sprawie organizacji i zakresu działania sekretariatów sądowych oraz innych działów administracji sądowej). Natomiast nie istnieją jeszcze przepisy, które stanowiłyby podstawę do stworzenia systemu teleinformatycznego obsługującego akta księgi wieczystej, przeglądarki akt cyfrowych dla osób posiadających interes prawny oraz notariusza. Ze względu na brak podstawy prawnej Minister Sprawiedliwości nie stworzył takich systemów teleinformatycznych.</w:t>
            </w:r>
          </w:p>
          <w:p w14:paraId="5787F432" w14:textId="77777777" w:rsidR="00EA4C87" w:rsidRPr="009521C9" w:rsidRDefault="00EA4C87" w:rsidP="00E54DC7">
            <w:pPr>
              <w:pStyle w:val="Inne0"/>
              <w:spacing w:before="120" w:after="120"/>
              <w:ind w:left="138" w:right="274"/>
              <w:rPr>
                <w:rFonts w:ascii="Lato" w:eastAsia="Arial" w:hAnsi="Lato" w:cs="Arial"/>
                <w:sz w:val="18"/>
                <w:szCs w:val="18"/>
              </w:rPr>
            </w:pPr>
            <w:r w:rsidRPr="009521C9">
              <w:rPr>
                <w:rFonts w:ascii="Lato" w:eastAsia="Arial" w:hAnsi="Lato" w:cs="Arial"/>
                <w:sz w:val="18"/>
                <w:szCs w:val="18"/>
              </w:rPr>
              <w:t>Z powyższych powodów pogląd projektodawcy, że projekt stanowi tylko realizację obowiązków już nałożonych na sądy oraz że istnieją techniczne możliwości jego realizacji nie jest zgodny z obecnym stanem prawnym oraz faktycznym.</w:t>
            </w:r>
          </w:p>
          <w:p w14:paraId="15B008BE" w14:textId="77777777" w:rsidR="00EA4C87" w:rsidRPr="009521C9" w:rsidRDefault="00EA4C87" w:rsidP="00E54DC7">
            <w:pPr>
              <w:pStyle w:val="Inne0"/>
              <w:spacing w:before="120" w:after="120"/>
              <w:ind w:left="138" w:right="274"/>
              <w:rPr>
                <w:rFonts w:ascii="Lato" w:eastAsia="Arial" w:hAnsi="Lato" w:cs="Arial"/>
                <w:sz w:val="18"/>
                <w:szCs w:val="18"/>
              </w:rPr>
            </w:pPr>
            <w:r w:rsidRPr="009521C9">
              <w:rPr>
                <w:rFonts w:ascii="Lato" w:eastAsia="Arial" w:hAnsi="Lato" w:cs="Arial"/>
                <w:sz w:val="18"/>
                <w:szCs w:val="18"/>
              </w:rPr>
              <w:t xml:space="preserve">Ministerstwo Sprawiedliwości wskazuje również, że w dalszym ciągu utrzymuje się mankament nowej regulacji w postaci nałożenia na sądy wieczystoksięgowe obowiązku orzekania na podstawie </w:t>
            </w:r>
            <w:r w:rsidRPr="009521C9">
              <w:rPr>
                <w:rFonts w:ascii="Lato" w:eastAsia="Arial" w:hAnsi="Lato" w:cs="Arial"/>
                <w:sz w:val="18"/>
                <w:szCs w:val="18"/>
              </w:rPr>
              <w:lastRenderedPageBreak/>
              <w:t>wydruków dokumentów, co sprzeczne jest z zasadą orzekania na podstawie oryginałów dokumentów, czy to w postaci papierowej, czy, w przyszłości, elektronicznej oraz braku określenia sposobu, w jaki sąd wieczystoksięgowy ma zapewnić zgodność wydruku z oryginałem dokumentu elektronicznego, skupiając się jedynie na technicznym opisie ich cech. Wyrażając pogląd, że dokument elektroniczny może być przedstawiony sądowi wieczystoksięgowemu na dowolnym nośniku projektodawca przeczy treści art. 9§1 Kodeksu postępowania cywilnego, zgodnie z którym każdemu uczestnikowi postępowania dokument dołączony do akt sprawy należy umożliwić zapoznanie się z oryginałem dokumentu, którego wydruk został dołączony do akt.</w:t>
            </w:r>
          </w:p>
          <w:p w14:paraId="30FE3217" w14:textId="6D950476" w:rsidR="00EA4C87" w:rsidRPr="009521C9" w:rsidRDefault="00EA4C87" w:rsidP="00E54DC7">
            <w:pPr>
              <w:pStyle w:val="Inne0"/>
              <w:spacing w:before="120" w:after="120"/>
              <w:ind w:left="138" w:right="274"/>
              <w:rPr>
                <w:rFonts w:ascii="Lato" w:eastAsia="Arial" w:hAnsi="Lato" w:cs="Arial"/>
                <w:sz w:val="18"/>
                <w:szCs w:val="18"/>
              </w:rPr>
            </w:pPr>
            <w:r w:rsidRPr="009521C9">
              <w:rPr>
                <w:rFonts w:ascii="Lato" w:eastAsia="Arial" w:hAnsi="Lato" w:cs="Arial"/>
                <w:sz w:val="18"/>
                <w:szCs w:val="18"/>
              </w:rPr>
              <w:t>Należy zaznaczyć, że w toku wyżej opisanych prac nad cyfryzacją postępowania wieczystoksięgowego pełna integracja z Zintegrowanym Systemem Informacji o Nieruchomościach oraz stworzenie akt cyfrowych stanowią absolutny priorytet i będą zrealizowane w pierwszej kolejności w najwcześniejszym etapie projektu Elektroniczna Księga Wieczysta 2.0.(EKW 2.0), który planowany jest już na rok 2027. Natomiast nałożenie na sądy obowiązku drukowania zawiadomień i dokumentów geodezyjnych skutkować będzie zbędnymi kosztami sprzętu, który szybko stanie się niepotrzebny po wprowadzeniu nowych rozwiązań teleinformatycznych oraz nałożenia dodatkowych obowiązków na sekretariaty sądowe, co może skutkować zwiększeniem zaległości w krytycznym okresie poprzedzającym wprowadzenie nowych rozwiązań teleinformatycznych.</w:t>
            </w:r>
          </w:p>
          <w:p w14:paraId="4BEF6C06" w14:textId="769D73D4" w:rsidR="00EA4C87" w:rsidRPr="009521C9" w:rsidRDefault="00EA4C87" w:rsidP="00E54DC7">
            <w:pPr>
              <w:pStyle w:val="Inne0"/>
              <w:spacing w:before="120" w:after="120"/>
              <w:ind w:left="138" w:right="274"/>
              <w:rPr>
                <w:rFonts w:ascii="Lato" w:eastAsia="Arial" w:hAnsi="Lato" w:cs="Arial"/>
                <w:sz w:val="18"/>
                <w:szCs w:val="18"/>
              </w:rPr>
            </w:pPr>
            <w:r w:rsidRPr="009521C9">
              <w:rPr>
                <w:rFonts w:ascii="Lato" w:eastAsia="Arial" w:hAnsi="Lato" w:cs="Arial"/>
                <w:sz w:val="18"/>
                <w:szCs w:val="18"/>
              </w:rPr>
              <w:t>Wejście w życie omawianego przepisu powodować będzie obciążenie pracowników sekretariatów wydziałów ksiąg wieczystych dodatkowymi obowiązkami. Pracownicy ci będą musieli być zaangażowani w proces drukowania zawiadomień oraz dokumentów geodezyjnych do akt ksiąg wieczystych - co mija się z celem i ideą wymiany dokumentów elektronicznych pomiędzy organami państwowymi.</w:t>
            </w:r>
          </w:p>
          <w:p w14:paraId="3B100E9A" w14:textId="77777777" w:rsidR="00EA4C87" w:rsidRPr="009521C9" w:rsidRDefault="00EA4C87" w:rsidP="00E54DC7">
            <w:pPr>
              <w:pStyle w:val="Inne0"/>
              <w:spacing w:before="120" w:after="120"/>
              <w:ind w:left="138" w:right="274"/>
              <w:rPr>
                <w:rFonts w:ascii="Lato" w:eastAsia="Arial" w:hAnsi="Lato" w:cs="Arial"/>
                <w:sz w:val="18"/>
                <w:szCs w:val="18"/>
              </w:rPr>
            </w:pPr>
            <w:r w:rsidRPr="009521C9">
              <w:rPr>
                <w:rFonts w:ascii="Lato" w:eastAsia="Arial" w:hAnsi="Lato" w:cs="Arial"/>
                <w:sz w:val="18"/>
                <w:szCs w:val="18"/>
              </w:rPr>
              <w:t>Wejście w życie projektowanych przepisów przed przepisami wprowadzającymi elektroniczne (hybrydowe) akta księgi wieczyste (prace w ramach przywołanego wyżej projektu EKW 2.0) nie tylko zwiększy koszty po stronie sądów prowadzących księgi wieczyste, ale także z dużym prawdopodobieństwem może w konsekwencji negatywnie wpłynąć na sprawność postępowania wieczystoksięgowego. Bowiem sprawy o zmianę ewidencji gruntów i budynków stanowiły w 2025 roku 28 procent ogółu spraw wpływających do sądów wieczystoksięgowych</w:t>
            </w:r>
          </w:p>
          <w:p w14:paraId="7C50C11A" w14:textId="3B096118" w:rsidR="00FA234D" w:rsidRPr="009521C9" w:rsidRDefault="00EA4C87" w:rsidP="00E54DC7">
            <w:pPr>
              <w:pStyle w:val="Inne0"/>
              <w:shd w:val="clear" w:color="auto" w:fill="auto"/>
              <w:spacing w:before="120" w:after="120"/>
              <w:ind w:left="138" w:right="274"/>
              <w:rPr>
                <w:rFonts w:ascii="Lato" w:eastAsia="Arial" w:hAnsi="Lato" w:cs="Arial"/>
                <w:sz w:val="18"/>
                <w:szCs w:val="18"/>
              </w:rPr>
            </w:pPr>
            <w:r w:rsidRPr="009521C9">
              <w:rPr>
                <w:rFonts w:ascii="Lato" w:eastAsia="Arial" w:hAnsi="Lato" w:cs="Arial"/>
                <w:sz w:val="18"/>
                <w:szCs w:val="18"/>
              </w:rPr>
              <w:t xml:space="preserve">Innymi słowy do kosztów stricte finansowych należy dodać „koszty” - nieprzemyślanego w ocenie Ministerstwa Sprawiedliwości - rozwiązania przewidzianego w art. 24 b ust. 1a-c, które mogą w konsekwencji ponieść obywatele, których </w:t>
            </w:r>
            <w:r w:rsidRPr="009521C9">
              <w:rPr>
                <w:rFonts w:ascii="Lato" w:eastAsia="Arial" w:hAnsi="Lato" w:cs="Arial"/>
                <w:sz w:val="18"/>
                <w:szCs w:val="18"/>
              </w:rPr>
              <w:tab/>
              <w:t xml:space="preserve">czas oczekiwania na </w:t>
            </w:r>
            <w:r w:rsidRPr="009521C9">
              <w:rPr>
                <w:rFonts w:ascii="Lato" w:eastAsia="Arial" w:hAnsi="Lato" w:cs="Arial"/>
                <w:sz w:val="18"/>
                <w:szCs w:val="18"/>
              </w:rPr>
              <w:lastRenderedPageBreak/>
              <w:t>rozpoznanie w sądzie wniosku o wpis do księgi wieczystej może ulec znacznemu wydłużeniu.</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410CFD8E" w14:textId="1CEA6F31" w:rsidR="00FA234D" w:rsidRPr="009521C9" w:rsidRDefault="00FA234D" w:rsidP="00E54DC7">
            <w:pPr>
              <w:pStyle w:val="Inne0"/>
              <w:shd w:val="clear" w:color="auto" w:fill="auto"/>
              <w:spacing w:before="120" w:after="120"/>
              <w:ind w:left="421" w:right="136" w:hanging="285"/>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708CFB4A" w14:textId="77777777" w:rsidR="005D059D" w:rsidRDefault="000B4496" w:rsidP="009575F2">
            <w:pPr>
              <w:pStyle w:val="Inne0"/>
              <w:shd w:val="clear" w:color="auto" w:fill="auto"/>
              <w:spacing w:before="120" w:after="120"/>
              <w:ind w:left="129" w:right="136"/>
              <w:rPr>
                <w:rFonts w:ascii="Lato" w:eastAsia="Arial" w:hAnsi="Lato" w:cs="Arial"/>
                <w:sz w:val="18"/>
                <w:szCs w:val="18"/>
              </w:rPr>
            </w:pPr>
            <w:r>
              <w:rPr>
                <w:rFonts w:ascii="Lato" w:eastAsia="Arial" w:hAnsi="Lato" w:cs="Arial"/>
                <w:sz w:val="18"/>
                <w:szCs w:val="18"/>
              </w:rPr>
              <w:t>Uzasadnienie zawarto w odpowiedzi na uwagę lp. 10</w:t>
            </w:r>
          </w:p>
          <w:p w14:paraId="1B5FDAD7" w14:textId="5FE35196" w:rsidR="000B4496" w:rsidRDefault="000B4496" w:rsidP="000B4496">
            <w:pPr>
              <w:pStyle w:val="Inne0"/>
              <w:shd w:val="clear" w:color="auto" w:fill="auto"/>
              <w:spacing w:before="120" w:after="120"/>
              <w:ind w:left="129" w:right="136"/>
              <w:rPr>
                <w:rFonts w:ascii="Lato" w:eastAsia="Arial" w:hAnsi="Lato" w:cs="Arial"/>
                <w:sz w:val="18"/>
                <w:szCs w:val="18"/>
              </w:rPr>
            </w:pPr>
            <w:r>
              <w:rPr>
                <w:rFonts w:ascii="Lato" w:eastAsia="Arial" w:hAnsi="Lato" w:cs="Arial"/>
                <w:sz w:val="18"/>
                <w:szCs w:val="18"/>
              </w:rPr>
              <w:t xml:space="preserve">Uwagi Ministra Sprawiedliwości stojące w sprzeczności </w:t>
            </w:r>
            <w:r w:rsidR="00A20D87">
              <w:rPr>
                <w:rFonts w:ascii="Lato" w:eastAsia="Arial" w:hAnsi="Lato" w:cs="Arial"/>
                <w:sz w:val="18"/>
                <w:szCs w:val="18"/>
              </w:rPr>
              <w:br/>
            </w:r>
            <w:r>
              <w:rPr>
                <w:rFonts w:ascii="Lato" w:eastAsia="Arial" w:hAnsi="Lato" w:cs="Arial"/>
                <w:sz w:val="18"/>
                <w:szCs w:val="18"/>
              </w:rPr>
              <w:t xml:space="preserve">z </w:t>
            </w:r>
            <w:r w:rsidRPr="000B4496">
              <w:rPr>
                <w:rFonts w:ascii="Lato" w:eastAsia="Arial" w:hAnsi="Lato" w:cs="Arial"/>
                <w:sz w:val="18"/>
                <w:szCs w:val="18"/>
              </w:rPr>
              <w:t>obowiązującym</w:t>
            </w:r>
            <w:r>
              <w:rPr>
                <w:rFonts w:ascii="Lato" w:eastAsia="Arial" w:hAnsi="Lato" w:cs="Arial"/>
                <w:sz w:val="18"/>
                <w:szCs w:val="18"/>
              </w:rPr>
              <w:t xml:space="preserve">i przepisami </w:t>
            </w:r>
            <w:r w:rsidRPr="000B4496">
              <w:rPr>
                <w:rFonts w:ascii="Lato" w:eastAsia="Arial" w:hAnsi="Lato" w:cs="Arial"/>
                <w:sz w:val="18"/>
                <w:szCs w:val="18"/>
              </w:rPr>
              <w:t xml:space="preserve">§ 259 i § 267 ust. 5 obowiązującego zarządzenia </w:t>
            </w:r>
            <w:r w:rsidRPr="000B4496">
              <w:rPr>
                <w:rFonts w:ascii="Lato" w:eastAsia="Arial" w:hAnsi="Lato" w:cs="Arial"/>
                <w:sz w:val="18"/>
                <w:szCs w:val="18"/>
                <w:u w:val="single"/>
              </w:rPr>
              <w:t>Ministra Sprawiedliwości</w:t>
            </w:r>
            <w:r w:rsidRPr="000B4496">
              <w:rPr>
                <w:rFonts w:ascii="Lato" w:eastAsia="Arial" w:hAnsi="Lato" w:cs="Arial"/>
                <w:sz w:val="18"/>
                <w:szCs w:val="18"/>
              </w:rPr>
              <w:t xml:space="preserve"> </w:t>
            </w:r>
            <w:r w:rsidR="00A20D87">
              <w:rPr>
                <w:rFonts w:ascii="Lato" w:eastAsia="Arial" w:hAnsi="Lato" w:cs="Arial"/>
                <w:sz w:val="18"/>
                <w:szCs w:val="18"/>
              </w:rPr>
              <w:br/>
            </w:r>
            <w:r w:rsidRPr="000B4496">
              <w:rPr>
                <w:rFonts w:ascii="Lato" w:eastAsia="Arial" w:hAnsi="Lato" w:cs="Arial"/>
                <w:sz w:val="18"/>
                <w:szCs w:val="18"/>
              </w:rPr>
              <w:t xml:space="preserve">z 19 czerwca 2019 r. </w:t>
            </w:r>
            <w:hyperlink r:id="rId10" w:tgtFrame="_blank" w:history="1">
              <w:r w:rsidRPr="000B4496">
                <w:rPr>
                  <w:rFonts w:ascii="Lato" w:eastAsia="Arial" w:hAnsi="Lato" w:cs="Arial"/>
                  <w:sz w:val="18"/>
                  <w:szCs w:val="18"/>
                </w:rPr>
                <w:t>w sprawie organizacji i zakresu działania sekretariatów sądowych oraz innych działów administracji sądowej</w:t>
              </w:r>
            </w:hyperlink>
            <w:r w:rsidRPr="009521C9">
              <w:rPr>
                <w:rFonts w:ascii="Lato" w:eastAsia="Arial" w:hAnsi="Lato" w:cs="Arial"/>
                <w:sz w:val="18"/>
                <w:szCs w:val="18"/>
              </w:rPr>
              <w:t xml:space="preserve"> </w:t>
            </w:r>
            <w:r>
              <w:rPr>
                <w:rFonts w:ascii="Lato" w:eastAsia="Arial" w:hAnsi="Lato" w:cs="Arial"/>
                <w:sz w:val="18"/>
                <w:szCs w:val="18"/>
              </w:rPr>
              <w:t xml:space="preserve">- </w:t>
            </w:r>
            <w:r>
              <w:rPr>
                <w:rFonts w:ascii="Lato" w:hAnsi="Lato" w:cs="Calibri"/>
                <w:color w:val="auto"/>
                <w:sz w:val="18"/>
                <w:szCs w:val="18"/>
                <w:lang w:bidi="ar-SA"/>
              </w:rPr>
              <w:t>n</w:t>
            </w:r>
            <w:r>
              <w:rPr>
                <w:rFonts w:ascii="Lato" w:eastAsia="Arial" w:hAnsi="Lato" w:cs="Arial"/>
                <w:sz w:val="18"/>
                <w:szCs w:val="18"/>
              </w:rPr>
              <w:t xml:space="preserve">ie mogą zostać uwzględnione. Projektodawca podtrzymuje stanowisko, że </w:t>
            </w:r>
            <w:r w:rsidRPr="009521C9">
              <w:rPr>
                <w:rFonts w:ascii="Lato" w:eastAsia="Arial" w:hAnsi="Lato" w:cs="Arial"/>
                <w:sz w:val="18"/>
                <w:szCs w:val="18"/>
              </w:rPr>
              <w:t xml:space="preserve">obecne przepisy o postępowaniu wieczystoksięgowym nie przesądzają </w:t>
            </w:r>
            <w:r>
              <w:rPr>
                <w:rFonts w:ascii="Lato" w:eastAsia="Arial" w:hAnsi="Lato" w:cs="Arial"/>
                <w:sz w:val="18"/>
                <w:szCs w:val="18"/>
              </w:rPr>
              <w:t>obowiązku przekazywania do ksiąg wieczystych dokumentów wyłącznie w postaci papierowej.</w:t>
            </w:r>
          </w:p>
          <w:p w14:paraId="475B3D80" w14:textId="40F96830" w:rsidR="000B4496" w:rsidRDefault="000B4496" w:rsidP="000B4496">
            <w:pPr>
              <w:pStyle w:val="Inne0"/>
              <w:spacing w:before="120" w:after="120"/>
              <w:ind w:left="138" w:right="274"/>
              <w:rPr>
                <w:rFonts w:ascii="Lato" w:eastAsia="Arial" w:hAnsi="Lato" w:cs="Arial"/>
                <w:sz w:val="18"/>
                <w:szCs w:val="18"/>
              </w:rPr>
            </w:pPr>
            <w:r>
              <w:rPr>
                <w:rFonts w:ascii="Lato" w:eastAsia="Arial" w:hAnsi="Lato" w:cs="Arial"/>
                <w:sz w:val="18"/>
                <w:szCs w:val="18"/>
              </w:rPr>
              <w:t>Odnosząc się do uwagi, że w</w:t>
            </w:r>
            <w:r w:rsidRPr="009521C9">
              <w:rPr>
                <w:rFonts w:ascii="Lato" w:eastAsia="Arial" w:hAnsi="Lato" w:cs="Arial"/>
                <w:sz w:val="18"/>
                <w:szCs w:val="18"/>
              </w:rPr>
              <w:t xml:space="preserve">ejście w życie </w:t>
            </w:r>
            <w:r>
              <w:rPr>
                <w:rFonts w:ascii="Lato" w:eastAsia="Arial" w:hAnsi="Lato" w:cs="Arial"/>
                <w:sz w:val="18"/>
                <w:szCs w:val="18"/>
              </w:rPr>
              <w:t>projektowanych przepisów s</w:t>
            </w:r>
            <w:r w:rsidRPr="009521C9">
              <w:rPr>
                <w:rFonts w:ascii="Lato" w:eastAsia="Arial" w:hAnsi="Lato" w:cs="Arial"/>
                <w:sz w:val="18"/>
                <w:szCs w:val="18"/>
              </w:rPr>
              <w:t>powod</w:t>
            </w:r>
            <w:r>
              <w:rPr>
                <w:rFonts w:ascii="Lato" w:eastAsia="Arial" w:hAnsi="Lato" w:cs="Arial"/>
                <w:sz w:val="18"/>
                <w:szCs w:val="18"/>
              </w:rPr>
              <w:t>uje</w:t>
            </w:r>
            <w:r w:rsidRPr="009521C9">
              <w:rPr>
                <w:rFonts w:ascii="Lato" w:eastAsia="Arial" w:hAnsi="Lato" w:cs="Arial"/>
                <w:sz w:val="18"/>
                <w:szCs w:val="18"/>
              </w:rPr>
              <w:t xml:space="preserve"> obciążenie pracowników sekretariatów wydziałów ksiąg wieczystych dodatkowymi obowiązkami.</w:t>
            </w:r>
            <w:r>
              <w:rPr>
                <w:rFonts w:ascii="Lato" w:eastAsia="Arial" w:hAnsi="Lato" w:cs="Arial"/>
                <w:sz w:val="18"/>
                <w:szCs w:val="18"/>
              </w:rPr>
              <w:t xml:space="preserve"> </w:t>
            </w:r>
            <w:r w:rsidRPr="009521C9">
              <w:rPr>
                <w:rFonts w:ascii="Lato" w:eastAsia="Arial" w:hAnsi="Lato" w:cs="Arial"/>
                <w:sz w:val="18"/>
                <w:szCs w:val="18"/>
              </w:rPr>
              <w:t xml:space="preserve">Pracownicy ci będą </w:t>
            </w:r>
            <w:r>
              <w:rPr>
                <w:rFonts w:ascii="Lato" w:eastAsia="Arial" w:hAnsi="Lato" w:cs="Arial"/>
                <w:sz w:val="18"/>
                <w:szCs w:val="18"/>
              </w:rPr>
              <w:t xml:space="preserve">bowiem </w:t>
            </w:r>
            <w:r w:rsidRPr="009521C9">
              <w:rPr>
                <w:rFonts w:ascii="Lato" w:eastAsia="Arial" w:hAnsi="Lato" w:cs="Arial"/>
                <w:sz w:val="18"/>
                <w:szCs w:val="18"/>
              </w:rPr>
              <w:t xml:space="preserve">musieli być zaangażowani w proces drukowania zawiadomień oraz dokumentów geodezyjnych do akt ksiąg wieczystych </w:t>
            </w:r>
            <w:r>
              <w:rPr>
                <w:rFonts w:ascii="Lato" w:eastAsia="Arial" w:hAnsi="Lato" w:cs="Arial"/>
                <w:sz w:val="18"/>
                <w:szCs w:val="18"/>
              </w:rPr>
              <w:t>–</w:t>
            </w:r>
            <w:r w:rsidRPr="009521C9">
              <w:rPr>
                <w:rFonts w:ascii="Lato" w:eastAsia="Arial" w:hAnsi="Lato" w:cs="Arial"/>
                <w:sz w:val="18"/>
                <w:szCs w:val="18"/>
              </w:rPr>
              <w:t xml:space="preserve"> </w:t>
            </w:r>
            <w:r>
              <w:rPr>
                <w:rFonts w:ascii="Lato" w:eastAsia="Arial" w:hAnsi="Lato" w:cs="Arial"/>
                <w:sz w:val="18"/>
                <w:szCs w:val="18"/>
              </w:rPr>
              <w:t xml:space="preserve">należy zauważyć, że Ci sami pracownicy zostali odciążeni </w:t>
            </w:r>
            <w:r w:rsidR="00A20D87">
              <w:rPr>
                <w:rFonts w:ascii="Lato" w:eastAsia="Arial" w:hAnsi="Lato" w:cs="Arial"/>
                <w:sz w:val="18"/>
                <w:szCs w:val="18"/>
              </w:rPr>
              <w:br/>
            </w:r>
            <w:r w:rsidR="00F63D19">
              <w:rPr>
                <w:rFonts w:ascii="Lato" w:eastAsia="Arial" w:hAnsi="Lato" w:cs="Arial"/>
                <w:sz w:val="18"/>
                <w:szCs w:val="18"/>
              </w:rPr>
              <w:t xml:space="preserve">z pracy dzięki wprowadzeniu </w:t>
            </w:r>
            <w:r>
              <w:rPr>
                <w:rFonts w:ascii="Lato" w:eastAsia="Arial" w:hAnsi="Lato" w:cs="Arial"/>
                <w:sz w:val="18"/>
                <w:szCs w:val="18"/>
              </w:rPr>
              <w:t xml:space="preserve">przekazywania </w:t>
            </w:r>
            <w:r w:rsidR="00455206">
              <w:rPr>
                <w:rFonts w:ascii="Lato" w:eastAsia="Arial" w:hAnsi="Lato" w:cs="Arial"/>
                <w:sz w:val="18"/>
                <w:szCs w:val="18"/>
              </w:rPr>
              <w:t xml:space="preserve">zawiadomień o zmianach </w:t>
            </w:r>
            <w:r w:rsidR="00F63D19">
              <w:rPr>
                <w:rFonts w:ascii="Lato" w:eastAsia="Arial" w:hAnsi="Lato" w:cs="Arial"/>
                <w:sz w:val="18"/>
                <w:szCs w:val="18"/>
              </w:rPr>
              <w:t xml:space="preserve">w </w:t>
            </w:r>
            <w:r w:rsidR="00455206">
              <w:rPr>
                <w:rFonts w:ascii="Lato" w:eastAsia="Arial" w:hAnsi="Lato" w:cs="Arial"/>
                <w:sz w:val="18"/>
                <w:szCs w:val="18"/>
              </w:rPr>
              <w:t xml:space="preserve">dziale II ksiąg wieczystych do ewidencji gruntów i budynków w postaci elektronicznej przez Zintegrowany System Informacji </w:t>
            </w:r>
            <w:r w:rsidR="00A20D87">
              <w:rPr>
                <w:rFonts w:ascii="Lato" w:eastAsia="Arial" w:hAnsi="Lato" w:cs="Arial"/>
                <w:sz w:val="18"/>
                <w:szCs w:val="18"/>
              </w:rPr>
              <w:br/>
            </w:r>
            <w:r w:rsidR="00455206">
              <w:rPr>
                <w:rFonts w:ascii="Lato" w:eastAsia="Arial" w:hAnsi="Lato" w:cs="Arial"/>
                <w:sz w:val="18"/>
                <w:szCs w:val="18"/>
              </w:rPr>
              <w:t>o Nieruchomościach</w:t>
            </w:r>
            <w:r w:rsidR="00F63D19">
              <w:rPr>
                <w:rFonts w:ascii="Lato" w:eastAsia="Arial" w:hAnsi="Lato" w:cs="Arial"/>
                <w:sz w:val="18"/>
                <w:szCs w:val="18"/>
              </w:rPr>
              <w:t xml:space="preserve"> (ZSIN)</w:t>
            </w:r>
            <w:r w:rsidR="00455206">
              <w:rPr>
                <w:rFonts w:ascii="Lato" w:eastAsia="Arial" w:hAnsi="Lato" w:cs="Arial"/>
                <w:sz w:val="18"/>
                <w:szCs w:val="18"/>
              </w:rPr>
              <w:t>.</w:t>
            </w:r>
          </w:p>
          <w:p w14:paraId="3B10E9FF" w14:textId="65850652" w:rsidR="0076344C" w:rsidRDefault="00455206" w:rsidP="00455206">
            <w:pPr>
              <w:pStyle w:val="Inne0"/>
              <w:spacing w:before="120" w:after="120"/>
              <w:ind w:left="138" w:right="274"/>
              <w:rPr>
                <w:rFonts w:ascii="Lato" w:eastAsia="Arial" w:hAnsi="Lato" w:cs="Arial"/>
                <w:sz w:val="18"/>
                <w:szCs w:val="18"/>
              </w:rPr>
            </w:pPr>
            <w:r>
              <w:rPr>
                <w:rFonts w:ascii="Lato" w:eastAsia="Arial" w:hAnsi="Lato" w:cs="Arial"/>
                <w:sz w:val="18"/>
                <w:szCs w:val="18"/>
              </w:rPr>
              <w:t xml:space="preserve">Zgodnie ze Sprawozdaniem Pełnomocnika </w:t>
            </w:r>
            <w:r w:rsidRPr="00455206">
              <w:rPr>
                <w:rFonts w:ascii="Lato" w:eastAsia="Arial" w:hAnsi="Lato" w:cs="Arial"/>
                <w:sz w:val="18"/>
                <w:szCs w:val="18"/>
              </w:rPr>
              <w:t>Rady Ministrów do spraw</w:t>
            </w:r>
            <w:r>
              <w:rPr>
                <w:rFonts w:ascii="Lato" w:eastAsia="Arial" w:hAnsi="Lato" w:cs="Arial"/>
                <w:sz w:val="18"/>
                <w:szCs w:val="18"/>
              </w:rPr>
              <w:t xml:space="preserve"> </w:t>
            </w:r>
            <w:r w:rsidRPr="00455206">
              <w:rPr>
                <w:rFonts w:ascii="Lato" w:eastAsia="Arial" w:hAnsi="Lato" w:cs="Arial"/>
                <w:sz w:val="18"/>
                <w:szCs w:val="18"/>
              </w:rPr>
              <w:t xml:space="preserve">Rządowego Programu Rozwoju </w:t>
            </w:r>
            <w:r w:rsidR="00F63D19">
              <w:rPr>
                <w:rFonts w:ascii="Lato" w:eastAsia="Arial" w:hAnsi="Lato" w:cs="Arial"/>
                <w:sz w:val="18"/>
                <w:szCs w:val="18"/>
              </w:rPr>
              <w:t>ZSIN</w:t>
            </w:r>
            <w:r>
              <w:rPr>
                <w:rFonts w:ascii="Lato" w:eastAsia="Arial" w:hAnsi="Lato" w:cs="Arial"/>
                <w:sz w:val="18"/>
                <w:szCs w:val="18"/>
              </w:rPr>
              <w:t xml:space="preserve"> za II półrocze 2025 r. „</w:t>
            </w:r>
            <w:r w:rsidRPr="00455206">
              <w:rPr>
                <w:rFonts w:ascii="Lato" w:eastAsia="Arial" w:hAnsi="Lato" w:cs="Arial"/>
                <w:i/>
                <w:iCs/>
                <w:sz w:val="18"/>
                <w:szCs w:val="18"/>
              </w:rPr>
              <w:t xml:space="preserve">w okresie sprawozdawczym za pośrednictwem ZSIN przekazano ponad 1,6 mln zawiadomień z EKW do </w:t>
            </w:r>
            <w:proofErr w:type="spellStart"/>
            <w:r w:rsidRPr="00455206">
              <w:rPr>
                <w:rFonts w:ascii="Lato" w:eastAsia="Arial" w:hAnsi="Lato" w:cs="Arial"/>
                <w:i/>
                <w:iCs/>
                <w:sz w:val="18"/>
                <w:szCs w:val="18"/>
              </w:rPr>
              <w:t>EGiB</w:t>
            </w:r>
            <w:proofErr w:type="spellEnd"/>
            <w:r w:rsidRPr="00455206">
              <w:rPr>
                <w:rFonts w:ascii="Lato" w:eastAsia="Arial" w:hAnsi="Lato" w:cs="Arial"/>
                <w:i/>
                <w:iCs/>
                <w:sz w:val="18"/>
                <w:szCs w:val="18"/>
              </w:rPr>
              <w:t xml:space="preserve">, a łączna liczba zawiadomień </w:t>
            </w:r>
            <w:r w:rsidRPr="00455206">
              <w:rPr>
                <w:rFonts w:ascii="Lato" w:eastAsia="Arial" w:hAnsi="Lato" w:cs="Arial"/>
                <w:i/>
                <w:iCs/>
                <w:sz w:val="18"/>
                <w:szCs w:val="18"/>
              </w:rPr>
              <w:lastRenderedPageBreak/>
              <w:t>przekazanych od uruchomienia tej funkcjonalności przekroczyła 9 mln.”</w:t>
            </w:r>
            <w:r>
              <w:rPr>
                <w:rFonts w:ascii="Lato" w:eastAsia="Arial" w:hAnsi="Lato" w:cs="Arial"/>
                <w:sz w:val="18"/>
                <w:szCs w:val="18"/>
              </w:rPr>
              <w:t xml:space="preserve">. </w:t>
            </w:r>
            <w:r w:rsidR="0076344C">
              <w:rPr>
                <w:rFonts w:ascii="Lato" w:eastAsia="Arial" w:hAnsi="Lato" w:cs="Arial"/>
                <w:sz w:val="18"/>
                <w:szCs w:val="18"/>
              </w:rPr>
              <w:t xml:space="preserve">Zgodnie z informacją przekazaną przez Ministerstwo Sprawiedliwości na posiedzeniu Zespołu </w:t>
            </w:r>
            <w:r w:rsidR="0076344C" w:rsidRPr="0076344C">
              <w:rPr>
                <w:rFonts w:ascii="Lato" w:eastAsia="Arial" w:hAnsi="Lato" w:cs="Arial"/>
                <w:sz w:val="18"/>
                <w:szCs w:val="18"/>
              </w:rPr>
              <w:t xml:space="preserve">do spraw Rządowego Programu Rozwoju </w:t>
            </w:r>
            <w:r w:rsidR="0076344C">
              <w:rPr>
                <w:rFonts w:ascii="Lato" w:eastAsia="Arial" w:hAnsi="Lato" w:cs="Arial"/>
                <w:sz w:val="18"/>
                <w:szCs w:val="18"/>
              </w:rPr>
              <w:t>ZSIN w 2023 r. – już wówczas oszczędności sądów z tytułu ww. działań wynosiły prawie 18 mln zł., a według Głównego Urzędu Geodezji i Kartografii obecnie może to być już ponad 38 mln zł</w:t>
            </w:r>
            <w:r w:rsidR="0076344C" w:rsidRPr="0076344C">
              <w:rPr>
                <w:rFonts w:ascii="Lato" w:eastAsia="Arial" w:hAnsi="Lato" w:cs="Arial"/>
                <w:sz w:val="18"/>
                <w:szCs w:val="18"/>
              </w:rPr>
              <w:t>.</w:t>
            </w:r>
          </w:p>
          <w:p w14:paraId="1D6040AA" w14:textId="79C2A3C0" w:rsidR="00F63D19" w:rsidRDefault="00455206" w:rsidP="00455206">
            <w:pPr>
              <w:pStyle w:val="Inne0"/>
              <w:spacing w:before="120" w:after="120"/>
              <w:ind w:left="138" w:right="274"/>
              <w:rPr>
                <w:rFonts w:ascii="Lato" w:eastAsia="Arial" w:hAnsi="Lato" w:cs="Arial"/>
                <w:sz w:val="18"/>
                <w:szCs w:val="18"/>
              </w:rPr>
            </w:pPr>
            <w:r>
              <w:rPr>
                <w:rFonts w:ascii="Lato" w:eastAsia="Arial" w:hAnsi="Lato" w:cs="Arial"/>
                <w:sz w:val="18"/>
                <w:szCs w:val="18"/>
              </w:rPr>
              <w:t xml:space="preserve">Powyższe oznacza zmniejszenie </w:t>
            </w:r>
            <w:r w:rsidR="00556939">
              <w:rPr>
                <w:rFonts w:ascii="Lato" w:eastAsia="Arial" w:hAnsi="Lato" w:cs="Arial"/>
                <w:sz w:val="18"/>
                <w:szCs w:val="18"/>
              </w:rPr>
              <w:t xml:space="preserve">obciążenia pracą pracowników sądów z tytułu braku konieczności drukowania w papierze zawiadomień na potrzeby ich przesłania do ewidencji gruntów i budynków. Ww. zasoby kadrowe mogą </w:t>
            </w:r>
            <w:r w:rsidR="00F63D19">
              <w:rPr>
                <w:rFonts w:ascii="Lato" w:eastAsia="Arial" w:hAnsi="Lato" w:cs="Arial"/>
                <w:sz w:val="18"/>
                <w:szCs w:val="18"/>
              </w:rPr>
              <w:t xml:space="preserve">zostać </w:t>
            </w:r>
            <w:r w:rsidR="00556939">
              <w:rPr>
                <w:rFonts w:ascii="Lato" w:eastAsia="Arial" w:hAnsi="Lato" w:cs="Arial"/>
                <w:sz w:val="18"/>
                <w:szCs w:val="18"/>
              </w:rPr>
              <w:t xml:space="preserve">wykorzystane do drukowania </w:t>
            </w:r>
            <w:r w:rsidR="00F63D19">
              <w:rPr>
                <w:rFonts w:ascii="Lato" w:eastAsia="Arial" w:hAnsi="Lato" w:cs="Arial"/>
                <w:sz w:val="18"/>
                <w:szCs w:val="18"/>
              </w:rPr>
              <w:t xml:space="preserve">elektronicznych </w:t>
            </w:r>
            <w:r w:rsidR="00556939">
              <w:rPr>
                <w:rFonts w:ascii="Lato" w:eastAsia="Arial" w:hAnsi="Lato" w:cs="Arial"/>
                <w:sz w:val="18"/>
                <w:szCs w:val="18"/>
              </w:rPr>
              <w:t xml:space="preserve">dokumentów </w:t>
            </w:r>
            <w:r w:rsidR="00F63D19">
              <w:rPr>
                <w:rFonts w:ascii="Lato" w:eastAsia="Arial" w:hAnsi="Lato" w:cs="Arial"/>
                <w:sz w:val="18"/>
                <w:szCs w:val="18"/>
              </w:rPr>
              <w:t>o zmianach danych w</w:t>
            </w:r>
            <w:r w:rsidR="00556939">
              <w:rPr>
                <w:rFonts w:ascii="Lato" w:eastAsia="Arial" w:hAnsi="Lato" w:cs="Arial"/>
                <w:sz w:val="18"/>
                <w:szCs w:val="18"/>
              </w:rPr>
              <w:t xml:space="preserve"> ewidencj</w:t>
            </w:r>
            <w:r w:rsidR="00F63D19">
              <w:rPr>
                <w:rFonts w:ascii="Lato" w:eastAsia="Arial" w:hAnsi="Lato" w:cs="Arial"/>
                <w:sz w:val="18"/>
                <w:szCs w:val="18"/>
              </w:rPr>
              <w:t>i</w:t>
            </w:r>
            <w:r w:rsidR="00556939">
              <w:rPr>
                <w:rFonts w:ascii="Lato" w:eastAsia="Arial" w:hAnsi="Lato" w:cs="Arial"/>
                <w:sz w:val="18"/>
                <w:szCs w:val="18"/>
              </w:rPr>
              <w:t xml:space="preserve"> gruntów i budynków prze</w:t>
            </w:r>
            <w:r w:rsidR="00F63D19">
              <w:rPr>
                <w:rFonts w:ascii="Lato" w:eastAsia="Arial" w:hAnsi="Lato" w:cs="Arial"/>
                <w:sz w:val="18"/>
                <w:szCs w:val="18"/>
              </w:rPr>
              <w:t>kazywanych przez</w:t>
            </w:r>
            <w:r w:rsidR="00556939">
              <w:rPr>
                <w:rFonts w:ascii="Lato" w:eastAsia="Arial" w:hAnsi="Lato" w:cs="Arial"/>
                <w:sz w:val="18"/>
                <w:szCs w:val="18"/>
              </w:rPr>
              <w:t xml:space="preserve"> ZSIN, a więc realizację obowiązków nałożonych na sądy zarządzeniem </w:t>
            </w:r>
            <w:r w:rsidR="00556939" w:rsidRPr="00556939">
              <w:rPr>
                <w:rFonts w:ascii="Lato" w:eastAsia="Arial" w:hAnsi="Lato" w:cs="Arial"/>
                <w:sz w:val="18"/>
                <w:szCs w:val="18"/>
              </w:rPr>
              <w:t>Ministra Sprawiedliwości</w:t>
            </w:r>
            <w:r w:rsidR="00556939">
              <w:rPr>
                <w:rFonts w:ascii="Lato" w:eastAsia="Arial" w:hAnsi="Lato" w:cs="Arial"/>
                <w:sz w:val="18"/>
                <w:szCs w:val="18"/>
                <w:u w:val="single"/>
              </w:rPr>
              <w:t>.</w:t>
            </w:r>
            <w:r w:rsidR="00556939" w:rsidRPr="00556939">
              <w:rPr>
                <w:rFonts w:ascii="Lato" w:eastAsia="Arial" w:hAnsi="Lato" w:cs="Arial"/>
                <w:sz w:val="18"/>
                <w:szCs w:val="18"/>
              </w:rPr>
              <w:t xml:space="preserve"> </w:t>
            </w:r>
          </w:p>
          <w:p w14:paraId="6E4FCA63" w14:textId="3B1EDAC5" w:rsidR="00556939" w:rsidRDefault="00556939" w:rsidP="00F63D19">
            <w:pPr>
              <w:pStyle w:val="Inne0"/>
              <w:spacing w:before="120" w:after="120"/>
              <w:ind w:left="138" w:right="274"/>
              <w:rPr>
                <w:rFonts w:ascii="Lato" w:eastAsia="Arial" w:hAnsi="Lato" w:cs="Arial"/>
                <w:sz w:val="18"/>
                <w:szCs w:val="18"/>
                <w:u w:val="single"/>
              </w:rPr>
            </w:pPr>
            <w:r w:rsidRPr="00556939">
              <w:rPr>
                <w:rFonts w:ascii="Lato" w:eastAsia="Arial" w:hAnsi="Lato" w:cs="Arial"/>
                <w:sz w:val="18"/>
                <w:szCs w:val="18"/>
              </w:rPr>
              <w:t>Mając na względzie</w:t>
            </w:r>
            <w:r w:rsidR="00F63D19">
              <w:rPr>
                <w:rFonts w:ascii="Lato" w:eastAsia="Arial" w:hAnsi="Lato" w:cs="Arial"/>
                <w:sz w:val="18"/>
                <w:szCs w:val="18"/>
              </w:rPr>
              <w:t xml:space="preserve">, że sądy rejonowe prowadzące księgi wieczyste wykorzystują </w:t>
            </w:r>
            <w:r>
              <w:rPr>
                <w:rFonts w:ascii="Lato" w:eastAsia="Arial" w:hAnsi="Lato" w:cs="Arial"/>
                <w:sz w:val="18"/>
                <w:szCs w:val="18"/>
              </w:rPr>
              <w:t xml:space="preserve">usprawnienia </w:t>
            </w:r>
            <w:r w:rsidR="00F63D19">
              <w:rPr>
                <w:rFonts w:ascii="Lato" w:eastAsia="Arial" w:hAnsi="Lato" w:cs="Arial"/>
                <w:sz w:val="18"/>
                <w:szCs w:val="18"/>
              </w:rPr>
              <w:t>wynikające z</w:t>
            </w:r>
            <w:r>
              <w:rPr>
                <w:rFonts w:ascii="Lato" w:eastAsia="Arial" w:hAnsi="Lato" w:cs="Arial"/>
                <w:sz w:val="18"/>
                <w:szCs w:val="18"/>
              </w:rPr>
              <w:t xml:space="preserve"> elektroniczn</w:t>
            </w:r>
            <w:r w:rsidR="00F63D19">
              <w:rPr>
                <w:rFonts w:ascii="Lato" w:eastAsia="Arial" w:hAnsi="Lato" w:cs="Arial"/>
                <w:sz w:val="18"/>
                <w:szCs w:val="18"/>
              </w:rPr>
              <w:t xml:space="preserve">ego przekazywania </w:t>
            </w:r>
            <w:r>
              <w:rPr>
                <w:rFonts w:ascii="Lato" w:eastAsia="Arial" w:hAnsi="Lato" w:cs="Arial"/>
                <w:sz w:val="18"/>
                <w:szCs w:val="18"/>
              </w:rPr>
              <w:t xml:space="preserve">zawiadomień </w:t>
            </w:r>
            <w:r w:rsidR="00F63D19">
              <w:rPr>
                <w:rFonts w:ascii="Lato" w:eastAsia="Arial" w:hAnsi="Lato" w:cs="Arial"/>
                <w:sz w:val="18"/>
                <w:szCs w:val="18"/>
              </w:rPr>
              <w:t xml:space="preserve">do ewidencji gruntów i budynków poprzez </w:t>
            </w:r>
            <w:r>
              <w:rPr>
                <w:rFonts w:ascii="Lato" w:eastAsia="Arial" w:hAnsi="Lato" w:cs="Arial"/>
                <w:sz w:val="18"/>
                <w:szCs w:val="18"/>
              </w:rPr>
              <w:t xml:space="preserve">ZSIN, w opinii Ministerstwa Rozwoju i Technologii </w:t>
            </w:r>
            <w:r w:rsidR="00F63D19">
              <w:rPr>
                <w:rFonts w:ascii="Lato" w:eastAsia="Arial" w:hAnsi="Lato" w:cs="Arial"/>
                <w:sz w:val="18"/>
                <w:szCs w:val="18"/>
              </w:rPr>
              <w:t>nie ma uzasadnienia do twierdzenia, że przyjmowanie zwrotne zawiadomień z ewidencji gruntów i budynków w postaci elektronicznej będzie wpływało na</w:t>
            </w:r>
            <w:r w:rsidRPr="009521C9">
              <w:rPr>
                <w:rFonts w:ascii="Lato" w:eastAsia="Arial" w:hAnsi="Lato" w:cs="Arial"/>
                <w:sz w:val="18"/>
                <w:szCs w:val="18"/>
              </w:rPr>
              <w:t xml:space="preserve"> sprawność postępowania wieczystoksięgowego. </w:t>
            </w:r>
            <w:r w:rsidR="00F63D19">
              <w:rPr>
                <w:rFonts w:ascii="Lato" w:eastAsia="Arial" w:hAnsi="Lato" w:cs="Arial"/>
                <w:sz w:val="18"/>
                <w:szCs w:val="18"/>
              </w:rPr>
              <w:t xml:space="preserve">Zasoby kadrowe bowiem uwolnione dzięki przesyłaniu dokumentów z KW do ZSIN powinny zostać przesunięte na przyjmowanie dokumentów z ewidencji gruntów </w:t>
            </w:r>
            <w:r w:rsidR="00A20D87">
              <w:rPr>
                <w:rFonts w:ascii="Lato" w:eastAsia="Arial" w:hAnsi="Lato" w:cs="Arial"/>
                <w:sz w:val="18"/>
                <w:szCs w:val="18"/>
              </w:rPr>
              <w:br/>
            </w:r>
            <w:r w:rsidR="00F63D19">
              <w:rPr>
                <w:rFonts w:ascii="Lato" w:eastAsia="Arial" w:hAnsi="Lato" w:cs="Arial"/>
                <w:sz w:val="18"/>
                <w:szCs w:val="18"/>
              </w:rPr>
              <w:t>i budynków poprzez ZSIN. Do tego bowiem służą mechanizmy tego systemu.</w:t>
            </w:r>
          </w:p>
          <w:p w14:paraId="721534FD" w14:textId="3EE0BCC2" w:rsidR="00455206" w:rsidRPr="00556939" w:rsidRDefault="00556939" w:rsidP="00455206">
            <w:pPr>
              <w:pStyle w:val="Inne0"/>
              <w:spacing w:before="120" w:after="120"/>
              <w:ind w:left="138" w:right="274"/>
              <w:rPr>
                <w:rFonts w:ascii="Lato" w:eastAsia="Arial" w:hAnsi="Lato" w:cs="Arial"/>
                <w:sz w:val="18"/>
                <w:szCs w:val="18"/>
              </w:rPr>
            </w:pPr>
            <w:r>
              <w:rPr>
                <w:rFonts w:ascii="Lato" w:eastAsia="Arial" w:hAnsi="Lato" w:cs="Arial"/>
                <w:sz w:val="18"/>
                <w:szCs w:val="18"/>
              </w:rPr>
              <w:t xml:space="preserve">Projektodawca w dalszym ciągu stoi na stanowisku, że projektowane przepisy są próbą wyegzekwowania od sądów obowiązków, które już obecnie powinny być przez sądy realizowane, ale które nie są respektowane ze względu na przyjętą </w:t>
            </w:r>
            <w:r w:rsidRPr="009521C9">
              <w:rPr>
                <w:rFonts w:ascii="Lato" w:eastAsia="Arial" w:hAnsi="Lato" w:cs="Arial"/>
                <w:sz w:val="18"/>
                <w:szCs w:val="18"/>
              </w:rPr>
              <w:t>praktykę</w:t>
            </w:r>
            <w:r>
              <w:rPr>
                <w:rFonts w:ascii="Lato" w:eastAsia="Arial" w:hAnsi="Lato" w:cs="Arial"/>
                <w:sz w:val="18"/>
                <w:szCs w:val="18"/>
              </w:rPr>
              <w:t xml:space="preserve"> i wygodę</w:t>
            </w:r>
            <w:r w:rsidR="00F63D19">
              <w:rPr>
                <w:rFonts w:ascii="Lato" w:eastAsia="Arial" w:hAnsi="Lato" w:cs="Arial"/>
                <w:sz w:val="18"/>
                <w:szCs w:val="18"/>
              </w:rPr>
              <w:t xml:space="preserve"> pracowników sądów</w:t>
            </w:r>
            <w:r>
              <w:rPr>
                <w:rFonts w:ascii="Lato" w:eastAsia="Arial" w:hAnsi="Lato" w:cs="Arial"/>
                <w:sz w:val="18"/>
                <w:szCs w:val="18"/>
              </w:rPr>
              <w:t>.</w:t>
            </w:r>
          </w:p>
          <w:p w14:paraId="6F9F0AA2" w14:textId="77777777" w:rsidR="00455206" w:rsidRPr="009521C9" w:rsidRDefault="00455206" w:rsidP="00455206">
            <w:pPr>
              <w:pStyle w:val="Inne0"/>
              <w:spacing w:before="120" w:after="120"/>
              <w:ind w:left="138" w:right="274"/>
              <w:rPr>
                <w:rFonts w:ascii="Lato" w:eastAsia="Arial" w:hAnsi="Lato" w:cs="Arial"/>
                <w:sz w:val="18"/>
                <w:szCs w:val="18"/>
              </w:rPr>
            </w:pPr>
          </w:p>
          <w:p w14:paraId="0AFB24B2" w14:textId="41E4402A" w:rsidR="000B4496" w:rsidRPr="009521C9" w:rsidRDefault="000B4496" w:rsidP="000B4496">
            <w:pPr>
              <w:pStyle w:val="Inne0"/>
              <w:shd w:val="clear" w:color="auto" w:fill="auto"/>
              <w:spacing w:before="120" w:after="120"/>
              <w:ind w:left="129" w:right="136"/>
              <w:rPr>
                <w:rFonts w:ascii="Lato" w:eastAsia="Arial" w:hAnsi="Lato" w:cs="Arial"/>
                <w:sz w:val="18"/>
                <w:szCs w:val="18"/>
              </w:rPr>
            </w:pPr>
          </w:p>
        </w:tc>
      </w:tr>
      <w:tr w:rsidR="00FA234D" w:rsidRPr="009521C9" w14:paraId="302EF8DD" w14:textId="5FBB7496" w:rsidTr="003005A0">
        <w:trPr>
          <w:trHeight w:val="20"/>
        </w:trPr>
        <w:tc>
          <w:tcPr>
            <w:tcW w:w="709" w:type="dxa"/>
            <w:tcBorders>
              <w:top w:val="single" w:sz="4" w:space="0" w:color="auto"/>
              <w:left w:val="single" w:sz="4" w:space="0" w:color="auto"/>
              <w:bottom w:val="single" w:sz="4" w:space="0" w:color="auto"/>
            </w:tcBorders>
            <w:shd w:val="clear" w:color="auto" w:fill="FFFFFF"/>
          </w:tcPr>
          <w:p w14:paraId="4A5314F2" w14:textId="77777777" w:rsidR="00FA234D" w:rsidRPr="009521C9" w:rsidRDefault="00FA234D" w:rsidP="00B918CF">
            <w:pPr>
              <w:pStyle w:val="Inne0"/>
              <w:numPr>
                <w:ilvl w:val="0"/>
                <w:numId w:val="1"/>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70575D68" w14:textId="733AFFAA" w:rsidR="00FA234D" w:rsidRPr="009521C9" w:rsidRDefault="00EA4C87" w:rsidP="00E54DC7">
            <w:pPr>
              <w:pStyle w:val="Inne0"/>
              <w:shd w:val="clear" w:color="auto" w:fill="auto"/>
              <w:spacing w:before="120" w:after="120"/>
              <w:ind w:left="140"/>
              <w:rPr>
                <w:rFonts w:ascii="Lato" w:eastAsia="Arial" w:hAnsi="Lato" w:cs="Arial"/>
                <w:sz w:val="18"/>
                <w:szCs w:val="18"/>
              </w:rPr>
            </w:pPr>
            <w:r w:rsidRPr="009521C9">
              <w:rPr>
                <w:rFonts w:ascii="Lato" w:eastAsia="Arial" w:hAnsi="Lato" w:cs="Arial"/>
                <w:sz w:val="18"/>
                <w:szCs w:val="18"/>
              </w:rPr>
              <w:t>Minister Sprawiedliwości</w:t>
            </w:r>
          </w:p>
        </w:tc>
        <w:tc>
          <w:tcPr>
            <w:tcW w:w="5812" w:type="dxa"/>
            <w:tcBorders>
              <w:top w:val="single" w:sz="4" w:space="0" w:color="auto"/>
              <w:left w:val="single" w:sz="4" w:space="0" w:color="auto"/>
              <w:bottom w:val="single" w:sz="4" w:space="0" w:color="auto"/>
            </w:tcBorders>
            <w:shd w:val="clear" w:color="auto" w:fill="FFFFFF"/>
          </w:tcPr>
          <w:p w14:paraId="38CDD7CD" w14:textId="3358DBD8" w:rsidR="00FA234D" w:rsidRPr="009521C9" w:rsidRDefault="00EA4C87" w:rsidP="00E54DC7">
            <w:pPr>
              <w:pStyle w:val="Inne0"/>
              <w:spacing w:before="120" w:after="120"/>
              <w:ind w:left="138" w:right="274"/>
              <w:rPr>
                <w:rFonts w:ascii="Lato" w:eastAsia="Arial" w:hAnsi="Lato" w:cs="Arial"/>
                <w:b/>
                <w:bCs/>
                <w:sz w:val="18"/>
                <w:szCs w:val="18"/>
              </w:rPr>
            </w:pPr>
            <w:r w:rsidRPr="009521C9">
              <w:rPr>
                <w:rFonts w:ascii="Lato" w:eastAsia="Arial" w:hAnsi="Lato" w:cs="Arial"/>
                <w:b/>
                <w:bCs/>
                <w:sz w:val="18"/>
                <w:szCs w:val="18"/>
              </w:rPr>
              <w:t>Protokół Rozbieżności pkt 15.</w:t>
            </w:r>
          </w:p>
          <w:p w14:paraId="62A74249" w14:textId="3C1211EA" w:rsidR="00EA4C87" w:rsidRPr="009521C9" w:rsidRDefault="00EA4C87" w:rsidP="00E54DC7">
            <w:pPr>
              <w:pStyle w:val="Inne0"/>
              <w:spacing w:before="120" w:after="120"/>
              <w:ind w:left="138" w:right="274"/>
              <w:rPr>
                <w:rFonts w:ascii="Lato" w:eastAsia="Arial" w:hAnsi="Lato" w:cs="Arial"/>
                <w:sz w:val="18"/>
                <w:szCs w:val="18"/>
              </w:rPr>
            </w:pPr>
            <w:r w:rsidRPr="009521C9">
              <w:rPr>
                <w:rFonts w:ascii="Lato" w:eastAsia="Arial" w:hAnsi="Lato" w:cs="Arial"/>
                <w:sz w:val="18"/>
                <w:szCs w:val="18"/>
              </w:rPr>
              <w:t>Obecny model funkcjonowania ZSIN nie gwarantuje aktualności danych w czasie rzeczywistym. Zgodnie z § 5 ust. 5 rozporządzenia Rady Ministrów z dnia 14 października 2022 r. w sprawie Zintegrowanego Systemu Informacji o Nieruchomościach kopie aktualnych zbiorów danych ewidencji gruntów i budynków są przekazywane do ZSIN co najmniej raz w roku, przy czym pierwsze przekazanie w danym roku następuje do dnia 31 stycznia. Minimalny, roczny charakter tego obowiązku powoduje, że nawet jego formalne wykonanie nie zapewnia bieżącej aktualności danych zgromadzonych w systemie. Tym samym, system może pozostawać w stanie niepełnej aktualności przez znaczną część roku. Projektowane zmiany legislacyjne w ramach ustawy o zmianie ustawy - Prawo geodezyjne i kartograficzne oraz ustawy o infrastrukturze informacji przestrzennej (UD60), przewidujące zobowiązanie starostów do zapewnienia Głównemu Geodecie Kraju bezpośredniego dostępu do prowadzonych baz danych, w szczególności ewidencji gruntów i budynków, mogą przyczynić się do zwiększenia elastyczności w zakresie aktualizacji danych w ZSIN, ale nie zapewnią aktualizacji danych w czasie rzeczywistym. Z treści projektu wynika jedynie obowiązek zapewnienia dostępu do baz danych, natomiast brak jest jednoznacznego określenia mechanizmu, częstotliwości oraz trybu ich aktualizacji na potrzeby ZSIN. W uzasadnieniu do projektu wskazano, że taki sposób dostępu ma umożliwić bieżącą aktualizację danych zgodnie z rzeczywistymi potrzebami. Pojęcie to ma jednak charakter niedookreślony i nie pozwala na ustalenie czy aktualizacja następować będzie w sposób ciągły, okresowy czy incydentalny. Jednocześnie w uzasadnieniu projektu podkreślono, że dla skutecznej realizacji art. 27 ust. 4 ustawy o księgach wieczystych i hipotece konieczne jest zapewnienie spójności danych pomiędzy katastrem nieruchomości a księgami wieczystymi, w taki sposób, aby dane były aktualne i jednolite w skali kraju. Należy jednak wskazać, że osiągnięcie tego celu wymaga zapewnienia dostępu do danych ewidencji gruntów i budynków w trybie rzeczywistym (on-line), umożliwiającego niezwłoczne odzwierciedlenie zmian w systemie. Tylko w takim modelu przesyłanie danych do ksiąg wieczystych może mieć pełne uzasadnienie z punktu widzenia aktualności i wiarygodności informacji.</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45A6CCC0" w14:textId="2541055E" w:rsidR="00FA234D" w:rsidRPr="009521C9" w:rsidRDefault="00FA234D" w:rsidP="00E54DC7">
            <w:pPr>
              <w:pStyle w:val="Inne0"/>
              <w:shd w:val="clear" w:color="auto" w:fill="auto"/>
              <w:spacing w:before="120" w:after="120"/>
              <w:ind w:left="136"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4C274DA2" w14:textId="77777777" w:rsidR="00FA234D" w:rsidRDefault="00F63D19" w:rsidP="00ED274A">
            <w:pPr>
              <w:pStyle w:val="Inne0"/>
              <w:spacing w:before="120" w:after="120"/>
              <w:ind w:left="131" w:right="138"/>
              <w:rPr>
                <w:rFonts w:ascii="Lato" w:eastAsia="Arial" w:hAnsi="Lato" w:cs="Arial"/>
                <w:sz w:val="18"/>
                <w:szCs w:val="18"/>
              </w:rPr>
            </w:pPr>
            <w:r>
              <w:rPr>
                <w:rFonts w:ascii="Lato" w:eastAsia="Arial" w:hAnsi="Lato" w:cs="Arial"/>
                <w:sz w:val="18"/>
                <w:szCs w:val="18"/>
              </w:rPr>
              <w:t xml:space="preserve">Odnośnie wskazania, że projektowane przepisy ustawy nie określają </w:t>
            </w:r>
            <w:r w:rsidRPr="009521C9">
              <w:rPr>
                <w:rFonts w:ascii="Lato" w:eastAsia="Arial" w:hAnsi="Lato" w:cs="Arial"/>
                <w:sz w:val="18"/>
                <w:szCs w:val="18"/>
              </w:rPr>
              <w:t>jednoznaczn</w:t>
            </w:r>
            <w:r>
              <w:rPr>
                <w:rFonts w:ascii="Lato" w:eastAsia="Arial" w:hAnsi="Lato" w:cs="Arial"/>
                <w:sz w:val="18"/>
                <w:szCs w:val="18"/>
              </w:rPr>
              <w:t>i</w:t>
            </w:r>
            <w:r w:rsidRPr="009521C9">
              <w:rPr>
                <w:rFonts w:ascii="Lato" w:eastAsia="Arial" w:hAnsi="Lato" w:cs="Arial"/>
                <w:sz w:val="18"/>
                <w:szCs w:val="18"/>
              </w:rPr>
              <w:t>e mechanizmu, częstotliwości oraz trybu ich aktualizacji na potrzeby ZSIN</w:t>
            </w:r>
            <w:r>
              <w:rPr>
                <w:rFonts w:ascii="Lato" w:eastAsia="Arial" w:hAnsi="Lato" w:cs="Arial"/>
                <w:sz w:val="18"/>
                <w:szCs w:val="18"/>
              </w:rPr>
              <w:t xml:space="preserve">, należy wskazać, że to rozporządzenie </w:t>
            </w:r>
            <w:r w:rsidR="00ED274A">
              <w:rPr>
                <w:rFonts w:ascii="Lato" w:eastAsia="Arial" w:hAnsi="Lato" w:cs="Arial"/>
                <w:sz w:val="18"/>
                <w:szCs w:val="18"/>
              </w:rPr>
              <w:t>wydawane</w:t>
            </w:r>
            <w:r>
              <w:rPr>
                <w:rFonts w:ascii="Lato" w:eastAsia="Arial" w:hAnsi="Lato" w:cs="Arial"/>
                <w:sz w:val="18"/>
                <w:szCs w:val="18"/>
              </w:rPr>
              <w:t xml:space="preserve"> na podstawie art. 24b </w:t>
            </w:r>
            <w:r w:rsidR="00ED274A">
              <w:rPr>
                <w:rFonts w:ascii="Lato" w:eastAsia="Arial" w:hAnsi="Lato" w:cs="Arial"/>
                <w:sz w:val="18"/>
                <w:szCs w:val="18"/>
              </w:rPr>
              <w:t>ust. 4 ustawy – Prawo geodezyjne i kartograficzne reguluje „</w:t>
            </w:r>
            <w:r w:rsidR="00ED274A" w:rsidRPr="00ED274A">
              <w:rPr>
                <w:rFonts w:ascii="Lato" w:eastAsia="Arial" w:hAnsi="Lato" w:cs="Arial"/>
                <w:sz w:val="18"/>
                <w:szCs w:val="18"/>
              </w:rPr>
              <w:t xml:space="preserve">sposób, tryb i standardy techniczne tworzenia i </w:t>
            </w:r>
            <w:r w:rsidR="00ED274A" w:rsidRPr="00ED274A">
              <w:rPr>
                <w:rFonts w:ascii="Lato" w:eastAsia="Arial" w:hAnsi="Lato" w:cs="Arial"/>
                <w:i/>
                <w:iCs/>
                <w:sz w:val="18"/>
                <w:szCs w:val="18"/>
              </w:rPr>
              <w:t>prowadzenia zintegrowanego systemu informacji o nieruchomościach (…) mając na uwadze usprawnienie funkcjonowania systemu informacyjnego państwa dotyczącego nieruchomości, przez tworzenie rozwiązań umożliwiających zapewnienie spójności i aktualności danych dotyczących nieruchomości, zawartych w różnych rejestrach publicznych, automatyzację procesów ich aktualizacji</w:t>
            </w:r>
            <w:r w:rsidR="00ED274A">
              <w:rPr>
                <w:rFonts w:ascii="Lato" w:eastAsia="Arial" w:hAnsi="Lato" w:cs="Arial"/>
                <w:sz w:val="18"/>
                <w:szCs w:val="18"/>
              </w:rPr>
              <w:t>”</w:t>
            </w:r>
            <w:r w:rsidR="00ED274A" w:rsidRPr="00ED274A">
              <w:rPr>
                <w:rFonts w:ascii="Lato" w:eastAsia="Arial" w:hAnsi="Lato" w:cs="Arial"/>
                <w:sz w:val="18"/>
                <w:szCs w:val="18"/>
              </w:rPr>
              <w:t>.</w:t>
            </w:r>
            <w:r w:rsidR="00ED274A">
              <w:rPr>
                <w:rFonts w:ascii="Lato" w:eastAsia="Arial" w:hAnsi="Lato" w:cs="Arial"/>
                <w:sz w:val="18"/>
                <w:szCs w:val="18"/>
              </w:rPr>
              <w:t xml:space="preserve"> Również obecnie forma i sposób aktualizacji Centralnego Repozytorium </w:t>
            </w:r>
            <w:r w:rsidR="00ED274A" w:rsidRPr="00ED274A">
              <w:rPr>
                <w:rFonts w:ascii="Lato" w:eastAsia="Arial" w:hAnsi="Lato" w:cs="Arial"/>
                <w:sz w:val="18"/>
                <w:szCs w:val="18"/>
              </w:rPr>
              <w:t>kopii zbiorów danych ewidencji gruntów i budynków</w:t>
            </w:r>
            <w:r w:rsidR="00ED274A">
              <w:rPr>
                <w:rFonts w:ascii="Lato" w:eastAsia="Arial" w:hAnsi="Lato" w:cs="Arial"/>
                <w:sz w:val="18"/>
                <w:szCs w:val="18"/>
              </w:rPr>
              <w:t xml:space="preserve"> w ZSIN uregulowane jest w przepisach rozporządzenia </w:t>
            </w:r>
            <w:r w:rsidR="00ED274A" w:rsidRPr="00ED274A">
              <w:rPr>
                <w:rFonts w:ascii="Lato" w:eastAsia="Arial" w:hAnsi="Lato" w:cs="Arial"/>
                <w:sz w:val="18"/>
                <w:szCs w:val="18"/>
              </w:rPr>
              <w:t>Rady Ministrów z dnia 14 października 2022 r. w sprawie zintegrowanego systemu informacji o nieruchomościach (Dz.U. z 2022 r. poz. 2469)</w:t>
            </w:r>
            <w:r w:rsidR="00ED274A">
              <w:rPr>
                <w:rFonts w:ascii="Lato" w:eastAsia="Arial" w:hAnsi="Lato" w:cs="Arial"/>
                <w:sz w:val="18"/>
                <w:szCs w:val="18"/>
              </w:rPr>
              <w:t>.</w:t>
            </w:r>
          </w:p>
          <w:p w14:paraId="357499FA" w14:textId="0A89EDF1" w:rsidR="00ED274A" w:rsidRPr="009521C9" w:rsidRDefault="00ED274A" w:rsidP="00ED274A">
            <w:pPr>
              <w:pStyle w:val="Inne0"/>
              <w:spacing w:before="120" w:after="120"/>
              <w:ind w:left="131" w:right="138"/>
              <w:rPr>
                <w:rFonts w:ascii="Lato" w:eastAsia="Arial" w:hAnsi="Lato" w:cs="Arial"/>
                <w:sz w:val="18"/>
                <w:szCs w:val="18"/>
              </w:rPr>
            </w:pPr>
            <w:r>
              <w:rPr>
                <w:rFonts w:ascii="Lato" w:eastAsia="Arial" w:hAnsi="Lato" w:cs="Arial"/>
                <w:sz w:val="18"/>
                <w:szCs w:val="18"/>
              </w:rPr>
              <w:t>Mając na względzie powyższe kwestie poruszone przez Ministerstwo Sprawiedliwości zostaną uwzględnione przy nowelizacji ww. rozporządzenia.</w:t>
            </w:r>
          </w:p>
        </w:tc>
      </w:tr>
      <w:tr w:rsidR="00FA234D" w:rsidRPr="009521C9" w14:paraId="023A6BA5" w14:textId="5543CC7C" w:rsidTr="003005A0">
        <w:trPr>
          <w:trHeight w:val="20"/>
        </w:trPr>
        <w:tc>
          <w:tcPr>
            <w:tcW w:w="709" w:type="dxa"/>
            <w:tcBorders>
              <w:top w:val="single" w:sz="4" w:space="0" w:color="auto"/>
              <w:left w:val="single" w:sz="4" w:space="0" w:color="auto"/>
              <w:bottom w:val="single" w:sz="4" w:space="0" w:color="auto"/>
            </w:tcBorders>
            <w:shd w:val="clear" w:color="auto" w:fill="FFFFFF"/>
          </w:tcPr>
          <w:p w14:paraId="150E081C" w14:textId="77777777" w:rsidR="00FA234D" w:rsidRPr="009521C9" w:rsidRDefault="00FA234D" w:rsidP="00B918CF">
            <w:pPr>
              <w:pStyle w:val="Inne0"/>
              <w:numPr>
                <w:ilvl w:val="0"/>
                <w:numId w:val="1"/>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5659DB22" w14:textId="396F1D43" w:rsidR="00FA234D" w:rsidRPr="009521C9" w:rsidRDefault="00EA4C87" w:rsidP="00E54DC7">
            <w:pPr>
              <w:pStyle w:val="Inne0"/>
              <w:shd w:val="clear" w:color="auto" w:fill="auto"/>
              <w:spacing w:before="120" w:after="120"/>
              <w:ind w:left="140"/>
              <w:rPr>
                <w:rFonts w:ascii="Lato" w:eastAsia="Arial" w:hAnsi="Lato" w:cs="Arial"/>
                <w:sz w:val="18"/>
                <w:szCs w:val="18"/>
              </w:rPr>
            </w:pPr>
            <w:r w:rsidRPr="009521C9">
              <w:rPr>
                <w:rFonts w:ascii="Lato" w:eastAsia="Arial" w:hAnsi="Lato" w:cs="Arial"/>
                <w:sz w:val="18"/>
                <w:szCs w:val="18"/>
              </w:rPr>
              <w:t>Minister Sprawiedliwości</w:t>
            </w:r>
          </w:p>
        </w:tc>
        <w:tc>
          <w:tcPr>
            <w:tcW w:w="5812" w:type="dxa"/>
            <w:tcBorders>
              <w:top w:val="single" w:sz="4" w:space="0" w:color="auto"/>
              <w:left w:val="single" w:sz="4" w:space="0" w:color="auto"/>
              <w:bottom w:val="single" w:sz="4" w:space="0" w:color="auto"/>
            </w:tcBorders>
            <w:shd w:val="clear" w:color="auto" w:fill="FFFFFF"/>
          </w:tcPr>
          <w:p w14:paraId="67643F03" w14:textId="77777777" w:rsidR="00FA234D" w:rsidRPr="009521C9" w:rsidRDefault="00EA4C87" w:rsidP="00E54DC7">
            <w:pPr>
              <w:pStyle w:val="Inne0"/>
              <w:spacing w:before="120" w:after="120"/>
              <w:ind w:left="138" w:right="274"/>
              <w:rPr>
                <w:rFonts w:ascii="Lato" w:eastAsia="Arial" w:hAnsi="Lato" w:cs="Arial"/>
                <w:sz w:val="18"/>
                <w:szCs w:val="18"/>
              </w:rPr>
            </w:pPr>
            <w:r w:rsidRPr="009521C9">
              <w:rPr>
                <w:rFonts w:ascii="Lato" w:eastAsia="Arial" w:hAnsi="Lato" w:cs="Arial"/>
                <w:sz w:val="18"/>
                <w:szCs w:val="18"/>
              </w:rPr>
              <w:t>Protokół Rozbieżności pkt. 16</w:t>
            </w:r>
          </w:p>
          <w:p w14:paraId="46DF9808" w14:textId="77777777" w:rsidR="00EA4C87" w:rsidRPr="009521C9" w:rsidRDefault="00EA4C87" w:rsidP="00E54DC7">
            <w:pPr>
              <w:pStyle w:val="Inne0"/>
              <w:spacing w:before="120" w:after="120"/>
              <w:ind w:left="138" w:right="274"/>
              <w:rPr>
                <w:rFonts w:ascii="Lato" w:eastAsia="Arial" w:hAnsi="Lato" w:cs="Arial"/>
                <w:sz w:val="18"/>
                <w:szCs w:val="18"/>
              </w:rPr>
            </w:pPr>
            <w:r w:rsidRPr="009521C9">
              <w:rPr>
                <w:rFonts w:ascii="Lato" w:eastAsia="Arial" w:hAnsi="Lato" w:cs="Arial"/>
                <w:sz w:val="18"/>
                <w:szCs w:val="18"/>
              </w:rPr>
              <w:t xml:space="preserve">Odnosząc się do punktu 16 Protokołu Rozbieżności, wzywającego Ministra Sprawiedliwości do wskazania wysokości kosztów </w:t>
            </w:r>
            <w:r w:rsidRPr="009521C9">
              <w:rPr>
                <w:rFonts w:ascii="Lato" w:eastAsia="Arial" w:hAnsi="Lato" w:cs="Arial"/>
                <w:sz w:val="18"/>
                <w:szCs w:val="18"/>
              </w:rPr>
              <w:lastRenderedPageBreak/>
              <w:t>wprowadzenia regulacji, należy wskazać, że w roku 2025 do sądów wieczystoksięgowych wpłynęło 1 529 874 spraw z urzędu o sprostowanie oznaczenia nieruchomości. W każdej sprawie niezbędne jest przesłanie zawiadomienia o zmianie w ewidencji gruntów, wypisu z rejestru gruntów (w razie potrzeby także z kartotek budynków i lokali) oraz wyrysu z mapy ewidencyjnej. Wydruk tego ostatniego dokument wymaga specjalistycznego urządzenia drukującego graficznie w formacie A3 i większych formatach, przy czym sądy rejonowe prowadzące księgi wieczyste nie posiadają takich urządzeń. Pojedyncza sprawa może dotyczyć zmian w oznaczeniu od jednej do kilkudziesięciu i więcej działek ewidencyjnych, co oznacza, że w jednej sprawie może wpłynąć od minimum trzech do kilkudziesięciu i więcej kart akt podlegających wydrukowi i dołączeniu do akt. Przyjmując konserwatywnie przeciętną ilość pięciu kart do wydruku na sprawę i zakładając utrzymanie wpływu spraw z urzędu na dotychczasowym poziomie, sądy będą musiały ponieść koszt druku minimum 7,5 mln kart rocznie, co przy aktualnej cenie 0,04 zł za wydruk dokumentu w formacie A4 oraz 0,07 zł w formacie A3 oznacza dodatkowy, roczny koszt dla sądów:</w:t>
            </w:r>
          </w:p>
          <w:p w14:paraId="0AD856E2" w14:textId="08DC36C8" w:rsidR="00EA4C87" w:rsidRPr="009521C9" w:rsidRDefault="00EA4C87" w:rsidP="00B918CF">
            <w:pPr>
              <w:pStyle w:val="Inne0"/>
              <w:numPr>
                <w:ilvl w:val="0"/>
                <w:numId w:val="7"/>
              </w:numPr>
              <w:spacing w:before="120" w:after="120"/>
              <w:ind w:right="274"/>
              <w:rPr>
                <w:rFonts w:ascii="Lato" w:eastAsia="Arial" w:hAnsi="Lato" w:cs="Arial"/>
                <w:sz w:val="18"/>
                <w:szCs w:val="18"/>
              </w:rPr>
            </w:pPr>
            <w:r w:rsidRPr="009521C9">
              <w:rPr>
                <w:rFonts w:ascii="Lato" w:eastAsia="Arial" w:hAnsi="Lato" w:cs="Arial"/>
                <w:sz w:val="18"/>
                <w:szCs w:val="18"/>
              </w:rPr>
              <w:t>W przypadku wydruku dokumentów w formacie A4 - koszt roczny 300 000 zł (1,5 mln spraw pomnożone przez 5 stron co daje wynik 7,5 mln stron po 0,04 zł),</w:t>
            </w:r>
          </w:p>
          <w:p w14:paraId="2889C5C3" w14:textId="20DC17AA" w:rsidR="00EA4C87" w:rsidRPr="009521C9" w:rsidRDefault="00EA4C87" w:rsidP="00B918CF">
            <w:pPr>
              <w:pStyle w:val="Inne0"/>
              <w:numPr>
                <w:ilvl w:val="0"/>
                <w:numId w:val="7"/>
              </w:numPr>
              <w:spacing w:before="120" w:after="120"/>
              <w:ind w:right="274"/>
              <w:rPr>
                <w:rFonts w:ascii="Lato" w:eastAsia="Arial" w:hAnsi="Lato" w:cs="Arial"/>
                <w:sz w:val="18"/>
                <w:szCs w:val="18"/>
              </w:rPr>
            </w:pPr>
            <w:r w:rsidRPr="009521C9">
              <w:rPr>
                <w:rFonts w:ascii="Lato" w:eastAsia="Arial" w:hAnsi="Lato" w:cs="Arial"/>
                <w:sz w:val="18"/>
                <w:szCs w:val="18"/>
              </w:rPr>
              <w:t>W przypadku wydruku map w formacie A3 - koszt roczny 420 000 zł (1,5 mln spraw pomnożone przez 4 strony co daje wynik 6 mln stron po 0,07 zł),</w:t>
            </w:r>
          </w:p>
          <w:p w14:paraId="4874A361" w14:textId="28ED0DA0" w:rsidR="00EA4C87" w:rsidRPr="009521C9" w:rsidRDefault="00EA4C87" w:rsidP="00B918CF">
            <w:pPr>
              <w:pStyle w:val="Inne0"/>
              <w:numPr>
                <w:ilvl w:val="0"/>
                <w:numId w:val="7"/>
              </w:numPr>
              <w:spacing w:before="120" w:after="120"/>
              <w:ind w:right="274"/>
              <w:rPr>
                <w:rFonts w:ascii="Lato" w:eastAsia="Arial" w:hAnsi="Lato" w:cs="Arial"/>
                <w:sz w:val="18"/>
                <w:szCs w:val="18"/>
              </w:rPr>
            </w:pPr>
            <w:r w:rsidRPr="009521C9">
              <w:rPr>
                <w:rFonts w:ascii="Lato" w:eastAsia="Arial" w:hAnsi="Lato" w:cs="Arial"/>
                <w:sz w:val="18"/>
                <w:szCs w:val="18"/>
              </w:rPr>
              <w:t>koszt dzierżawy wysokowydajnego urządzenia A3 mono - koszt roczny 6,9 mln zł (koszt dzierżawy jednego urządzenia 1 672,80 zł brutto miesięcznie, co rocznie oznacza koszt 20 073,60 zł brutto, pomnożony przez 344 istniejące wydziały wieczystoksięgowe).</w:t>
            </w:r>
          </w:p>
          <w:p w14:paraId="3DAC9C67" w14:textId="77777777" w:rsidR="00EA4C87" w:rsidRPr="009521C9" w:rsidRDefault="00EA4C87" w:rsidP="00E54DC7">
            <w:pPr>
              <w:pStyle w:val="Inne0"/>
              <w:spacing w:before="120" w:after="120"/>
              <w:ind w:left="138" w:right="274"/>
              <w:rPr>
                <w:rFonts w:ascii="Lato" w:eastAsia="Arial" w:hAnsi="Lato" w:cs="Arial"/>
                <w:sz w:val="18"/>
                <w:szCs w:val="18"/>
              </w:rPr>
            </w:pPr>
            <w:r w:rsidRPr="009521C9">
              <w:rPr>
                <w:rFonts w:ascii="Lato" w:eastAsia="Arial" w:hAnsi="Lato" w:cs="Arial"/>
                <w:sz w:val="18"/>
                <w:szCs w:val="18"/>
              </w:rPr>
              <w:t>Podane wyżej koszty wydruku oraz dzierżawy urządzeń oznaczają konieczność poniesienia przez sądy dodatkowych kosztów w wysokości 7,62 mln rocznie.</w:t>
            </w:r>
          </w:p>
          <w:p w14:paraId="21F8DEEE" w14:textId="77777777" w:rsidR="00EA4C87" w:rsidRPr="009521C9" w:rsidRDefault="00EA4C87" w:rsidP="00E54DC7">
            <w:pPr>
              <w:pStyle w:val="Inne0"/>
              <w:spacing w:before="120" w:after="120"/>
              <w:ind w:left="138" w:right="274"/>
              <w:rPr>
                <w:rFonts w:ascii="Lato" w:eastAsia="Arial" w:hAnsi="Lato" w:cs="Arial"/>
                <w:sz w:val="18"/>
                <w:szCs w:val="18"/>
              </w:rPr>
            </w:pPr>
            <w:r w:rsidRPr="009521C9">
              <w:rPr>
                <w:rFonts w:ascii="Lato" w:eastAsia="Arial" w:hAnsi="Lato" w:cs="Arial"/>
                <w:sz w:val="18"/>
                <w:szCs w:val="18"/>
              </w:rPr>
              <w:t>Kalkulacja kosztów wykonana została na podstawie stawek z obecnej umowy Centrum Obsługi Administracji Rządowej.</w:t>
            </w:r>
          </w:p>
          <w:p w14:paraId="503893B2" w14:textId="29306DA5" w:rsidR="00EA4C87" w:rsidRPr="009521C9" w:rsidRDefault="00EA4C87" w:rsidP="00E54DC7">
            <w:pPr>
              <w:pStyle w:val="Inne0"/>
              <w:spacing w:before="120" w:after="120"/>
              <w:ind w:left="138" w:right="274"/>
              <w:rPr>
                <w:rFonts w:ascii="Lato" w:eastAsia="Arial" w:hAnsi="Lato" w:cs="Arial"/>
                <w:sz w:val="18"/>
                <w:szCs w:val="18"/>
              </w:rPr>
            </w:pPr>
            <w:r w:rsidRPr="009521C9">
              <w:rPr>
                <w:rFonts w:ascii="Lato" w:eastAsia="Arial" w:hAnsi="Lato" w:cs="Arial"/>
                <w:sz w:val="18"/>
                <w:szCs w:val="18"/>
              </w:rPr>
              <w:t>Sprawy o zmianę ewidencji gruntów i budynków stanowiły w 2025 roku 28 procent ogółu spraw wpływających do sądów wieczystoksięgowych (1 529 874 spraw wobec wpływu 5 346 175 spraw ogółem).</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25870688" w14:textId="0D4A356D" w:rsidR="00FA234D" w:rsidRPr="009521C9" w:rsidRDefault="00EA4C87" w:rsidP="00E54DC7">
            <w:pPr>
              <w:pStyle w:val="Inne0"/>
              <w:shd w:val="clear" w:color="auto" w:fill="auto"/>
              <w:spacing w:before="120" w:after="120"/>
              <w:ind w:left="136" w:right="136"/>
              <w:rPr>
                <w:rFonts w:ascii="Lato" w:eastAsia="Arial" w:hAnsi="Lato" w:cs="Arial"/>
                <w:sz w:val="18"/>
                <w:szCs w:val="18"/>
              </w:rPr>
            </w:pPr>
            <w:r w:rsidRPr="009521C9">
              <w:rPr>
                <w:rFonts w:ascii="Lato" w:hAnsi="Lato"/>
                <w:sz w:val="18"/>
                <w:szCs w:val="18"/>
              </w:rPr>
              <w:lastRenderedPageBreak/>
              <w:t>Uzupełnienie OSR o koszty podane przez Ministerstwo Sprawiedliwości</w:t>
            </w: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25088186" w14:textId="1B7E37B0" w:rsidR="00BF3525" w:rsidRPr="009521C9" w:rsidRDefault="00ED274A" w:rsidP="00E54DC7">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 xml:space="preserve">Projektodawca uwzględni w OSR koszty wydruku dokumentów w formacie A3 i A4 w wysokości 720 tys. zł. Odnośnie kosztu dzierżawy </w:t>
            </w:r>
            <w:r w:rsidRPr="009521C9">
              <w:rPr>
                <w:rFonts w:ascii="Lato" w:eastAsia="Arial" w:hAnsi="Lato" w:cs="Arial"/>
                <w:sz w:val="18"/>
                <w:szCs w:val="18"/>
              </w:rPr>
              <w:t>urządzenia</w:t>
            </w:r>
            <w:r>
              <w:rPr>
                <w:rFonts w:ascii="Lato" w:eastAsia="Arial" w:hAnsi="Lato" w:cs="Arial"/>
                <w:sz w:val="18"/>
                <w:szCs w:val="18"/>
              </w:rPr>
              <w:t xml:space="preserve"> do dokonywania wydruków w opinii Projektodawcy koszt </w:t>
            </w:r>
            <w:r>
              <w:rPr>
                <w:rFonts w:ascii="Lato" w:eastAsia="Arial" w:hAnsi="Lato" w:cs="Arial"/>
                <w:sz w:val="18"/>
                <w:szCs w:val="18"/>
              </w:rPr>
              <w:lastRenderedPageBreak/>
              <w:t xml:space="preserve">ten nie jest uzasadniony. Nie można zgodzić się z twierdzeniem, że sądy rejonowe nie posiadają takich urządzeń do bieżącej realizacji zadań – jak wskazano </w:t>
            </w:r>
            <w:r w:rsidR="00A20D87">
              <w:rPr>
                <w:rFonts w:ascii="Lato" w:eastAsia="Arial" w:hAnsi="Lato" w:cs="Arial"/>
                <w:sz w:val="18"/>
                <w:szCs w:val="18"/>
              </w:rPr>
              <w:br/>
            </w:r>
            <w:r>
              <w:rPr>
                <w:rFonts w:ascii="Lato" w:eastAsia="Arial" w:hAnsi="Lato" w:cs="Arial"/>
                <w:sz w:val="18"/>
                <w:szCs w:val="18"/>
              </w:rPr>
              <w:t>w odpowiedzi na uwagę w lp. 10 sądy rejonowe prowadzące księgi wieczyste mają obowiązek przekazywania zawiadomień o zmianach danych w dziale II KW do ewidencji gruntów i budynków</w:t>
            </w:r>
            <w:r w:rsidR="009575F2">
              <w:rPr>
                <w:rFonts w:ascii="Lato" w:eastAsia="Arial" w:hAnsi="Lato" w:cs="Arial"/>
                <w:sz w:val="18"/>
                <w:szCs w:val="18"/>
              </w:rPr>
              <w:t xml:space="preserve">. Do tej pory zawiadomienia te były drukowane i przekazywane </w:t>
            </w:r>
            <w:r w:rsidR="00A20D87">
              <w:rPr>
                <w:rFonts w:ascii="Lato" w:eastAsia="Arial" w:hAnsi="Lato" w:cs="Arial"/>
                <w:sz w:val="18"/>
                <w:szCs w:val="18"/>
              </w:rPr>
              <w:br/>
            </w:r>
            <w:r w:rsidR="009575F2">
              <w:rPr>
                <w:rFonts w:ascii="Lato" w:eastAsia="Arial" w:hAnsi="Lato" w:cs="Arial"/>
                <w:sz w:val="18"/>
                <w:szCs w:val="18"/>
              </w:rPr>
              <w:t xml:space="preserve">w postaci papierowej do starostów. Ponadto sądy wydają </w:t>
            </w:r>
            <w:r w:rsidR="009575F2" w:rsidRPr="009575F2">
              <w:rPr>
                <w:rFonts w:ascii="Lato" w:eastAsia="Arial" w:hAnsi="Lato" w:cs="Arial"/>
                <w:sz w:val="18"/>
                <w:szCs w:val="18"/>
              </w:rPr>
              <w:t>odpis</w:t>
            </w:r>
            <w:r w:rsidR="009575F2">
              <w:rPr>
                <w:rFonts w:ascii="Lato" w:eastAsia="Arial" w:hAnsi="Lato" w:cs="Arial"/>
                <w:sz w:val="18"/>
                <w:szCs w:val="18"/>
              </w:rPr>
              <w:t>y</w:t>
            </w:r>
            <w:r w:rsidR="009575F2" w:rsidRPr="009575F2">
              <w:rPr>
                <w:rFonts w:ascii="Lato" w:eastAsia="Arial" w:hAnsi="Lato" w:cs="Arial"/>
                <w:sz w:val="18"/>
                <w:szCs w:val="18"/>
              </w:rPr>
              <w:t xml:space="preserve"> księgi wieczystej, wyciąg</w:t>
            </w:r>
            <w:r w:rsidR="009575F2">
              <w:rPr>
                <w:rFonts w:ascii="Lato" w:eastAsia="Arial" w:hAnsi="Lato" w:cs="Arial"/>
                <w:sz w:val="18"/>
                <w:szCs w:val="18"/>
              </w:rPr>
              <w:t>i</w:t>
            </w:r>
            <w:r w:rsidR="009575F2" w:rsidRPr="009575F2">
              <w:rPr>
                <w:rFonts w:ascii="Lato" w:eastAsia="Arial" w:hAnsi="Lato" w:cs="Arial"/>
                <w:sz w:val="18"/>
                <w:szCs w:val="18"/>
              </w:rPr>
              <w:t xml:space="preserve"> z księgi wieczystej lub zaświadczenia o zamknięciu księgi wieczystej </w:t>
            </w:r>
            <w:r w:rsidR="009575F2">
              <w:rPr>
                <w:rFonts w:ascii="Lato" w:eastAsia="Arial" w:hAnsi="Lato" w:cs="Arial"/>
                <w:sz w:val="18"/>
                <w:szCs w:val="18"/>
              </w:rPr>
              <w:t>– w postaci papierowej, co oznacza, że już obecnie wydziały wieczysto-księgowe muszą posiadać urządzenia do wydruku dokumentów.</w:t>
            </w:r>
          </w:p>
        </w:tc>
      </w:tr>
      <w:tr w:rsidR="00EA4C87" w:rsidRPr="009521C9" w14:paraId="4EDBF947" w14:textId="525DA84D" w:rsidTr="003005A0">
        <w:trPr>
          <w:trHeight w:val="20"/>
        </w:trPr>
        <w:tc>
          <w:tcPr>
            <w:tcW w:w="709" w:type="dxa"/>
            <w:tcBorders>
              <w:top w:val="single" w:sz="4" w:space="0" w:color="auto"/>
              <w:left w:val="single" w:sz="4" w:space="0" w:color="auto"/>
              <w:bottom w:val="single" w:sz="4" w:space="0" w:color="auto"/>
            </w:tcBorders>
            <w:shd w:val="clear" w:color="auto" w:fill="FFFFFF"/>
          </w:tcPr>
          <w:p w14:paraId="16404AD9" w14:textId="77777777" w:rsidR="00EA4C87" w:rsidRPr="009521C9" w:rsidRDefault="00EA4C87" w:rsidP="00B918CF">
            <w:pPr>
              <w:pStyle w:val="Inne0"/>
              <w:numPr>
                <w:ilvl w:val="0"/>
                <w:numId w:val="1"/>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3B841943" w14:textId="29AFC95E" w:rsidR="00EA4C87" w:rsidRPr="009521C9" w:rsidRDefault="00EA4C87" w:rsidP="00E54DC7">
            <w:pPr>
              <w:pStyle w:val="Inne0"/>
              <w:shd w:val="clear" w:color="auto" w:fill="auto"/>
              <w:spacing w:before="120" w:after="120"/>
              <w:ind w:left="140"/>
              <w:rPr>
                <w:rFonts w:ascii="Lato" w:eastAsia="Arial" w:hAnsi="Lato" w:cs="Arial"/>
                <w:sz w:val="18"/>
                <w:szCs w:val="18"/>
              </w:rPr>
            </w:pPr>
            <w:r w:rsidRPr="009521C9">
              <w:rPr>
                <w:rFonts w:ascii="Lato" w:eastAsia="Arial" w:hAnsi="Lato" w:cs="Arial"/>
                <w:sz w:val="18"/>
                <w:szCs w:val="18"/>
              </w:rPr>
              <w:t>Rządowe Centrum Legislacji</w:t>
            </w:r>
          </w:p>
        </w:tc>
        <w:tc>
          <w:tcPr>
            <w:tcW w:w="5812" w:type="dxa"/>
            <w:tcBorders>
              <w:top w:val="single" w:sz="4" w:space="0" w:color="auto"/>
              <w:left w:val="single" w:sz="4" w:space="0" w:color="auto"/>
              <w:bottom w:val="single" w:sz="4" w:space="0" w:color="auto"/>
            </w:tcBorders>
            <w:shd w:val="clear" w:color="auto" w:fill="FFFFFF"/>
          </w:tcPr>
          <w:p w14:paraId="2C8356CA" w14:textId="77777777" w:rsidR="00EA4C87" w:rsidRPr="009521C9" w:rsidRDefault="00EA4C87" w:rsidP="00E54DC7">
            <w:pPr>
              <w:pStyle w:val="Teksttreci0"/>
              <w:spacing w:before="120" w:after="120"/>
              <w:ind w:left="138" w:right="274"/>
              <w:rPr>
                <w:rFonts w:ascii="Lato" w:hAnsi="Lato"/>
                <w:sz w:val="18"/>
                <w:szCs w:val="18"/>
              </w:rPr>
            </w:pPr>
            <w:r w:rsidRPr="009521C9">
              <w:rPr>
                <w:rFonts w:ascii="Lato" w:hAnsi="Lato"/>
                <w:sz w:val="18"/>
                <w:szCs w:val="18"/>
              </w:rPr>
              <w:t>RCL podtrzymuje uwagę wskazaną jako nieuwzględniona w lp. 9 protokołu rozbieżności.</w:t>
            </w:r>
          </w:p>
          <w:p w14:paraId="45A5597A" w14:textId="77777777" w:rsidR="00EA4C87" w:rsidRPr="009521C9" w:rsidRDefault="00EA4C87" w:rsidP="00E54DC7">
            <w:pPr>
              <w:pStyle w:val="Teksttreci0"/>
              <w:spacing w:before="120" w:after="120"/>
              <w:ind w:left="138" w:right="274"/>
              <w:rPr>
                <w:rFonts w:ascii="Lato" w:hAnsi="Lato"/>
                <w:sz w:val="18"/>
                <w:szCs w:val="18"/>
              </w:rPr>
            </w:pPr>
            <w:r w:rsidRPr="009521C9">
              <w:rPr>
                <w:rFonts w:ascii="Lato" w:hAnsi="Lato"/>
                <w:sz w:val="18"/>
                <w:szCs w:val="18"/>
              </w:rPr>
              <w:t xml:space="preserve">W związku z faktem, że z przepisu upoważniającego określonego w </w:t>
            </w:r>
            <w:r w:rsidRPr="009521C9">
              <w:rPr>
                <w:rFonts w:ascii="Lato" w:hAnsi="Lato"/>
                <w:sz w:val="18"/>
                <w:szCs w:val="18"/>
              </w:rPr>
              <w:lastRenderedPageBreak/>
              <w:t>art. 45h zmienianej ustawy wynika, że w akcie wykonawczym ma być określony sposób prowadzenia dziennika praktyki zawodowej, w tym jego wzór, w przepisach zmienianej ustawy powinien zostać zamieszczony przepis określający zawartość tego dziennika, gdyż wzór określony w rozporządzeniu powinien być zgodny z przepisami ustawowymi w tym zakresie.</w:t>
            </w:r>
          </w:p>
          <w:p w14:paraId="55C9F32F" w14:textId="73666BD8" w:rsidR="00EA4C87" w:rsidRPr="009521C9" w:rsidRDefault="00EA4C87" w:rsidP="00E54DC7">
            <w:pPr>
              <w:pStyle w:val="Teksttreci0"/>
              <w:spacing w:before="120" w:after="120"/>
              <w:ind w:left="138" w:right="274"/>
              <w:rPr>
                <w:rFonts w:ascii="Lato" w:eastAsia="Arial" w:hAnsi="Lato" w:cs="Arial"/>
                <w:sz w:val="18"/>
                <w:szCs w:val="18"/>
              </w:rPr>
            </w:pPr>
            <w:r w:rsidRPr="009521C9">
              <w:rPr>
                <w:rFonts w:ascii="Lato" w:hAnsi="Lato"/>
                <w:sz w:val="18"/>
                <w:szCs w:val="18"/>
              </w:rPr>
              <w:t>Jest to konieczne z legislacyjnego punktu widzenia. Przedstawione w ww. protokole rozbieżności stanowisko wnioskodawcy, z którego wynika, że w jego opinii jest to nadmiarowe, nie jest przekonujące w kontekście ww. konieczności legislacyjnej.</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3F8335BB" w14:textId="556983CE" w:rsidR="00EA4C87" w:rsidRPr="009521C9" w:rsidRDefault="00EA4C87" w:rsidP="00E54DC7">
            <w:pPr>
              <w:pStyle w:val="Inne0"/>
              <w:shd w:val="clear" w:color="auto" w:fill="auto"/>
              <w:spacing w:before="120" w:after="120"/>
              <w:ind w:left="136" w:right="136"/>
              <w:rPr>
                <w:rFonts w:ascii="Lato" w:eastAsia="Arial" w:hAnsi="Lato" w:cs="Arial"/>
                <w:sz w:val="18"/>
                <w:szCs w:val="18"/>
              </w:rPr>
            </w:pPr>
            <w:r w:rsidRPr="009521C9">
              <w:rPr>
                <w:rFonts w:ascii="Lato" w:eastAsia="Arial" w:hAnsi="Lato" w:cs="Arial"/>
                <w:sz w:val="18"/>
                <w:szCs w:val="18"/>
              </w:rPr>
              <w:lastRenderedPageBreak/>
              <w:t xml:space="preserve">Do zmienianej ustawy należy dodać przepis określający co zawiera dziennik praktyk </w:t>
            </w:r>
            <w:r w:rsidRPr="009521C9">
              <w:rPr>
                <w:rFonts w:ascii="Lato" w:eastAsia="Arial" w:hAnsi="Lato" w:cs="Arial"/>
                <w:sz w:val="18"/>
                <w:szCs w:val="18"/>
              </w:rPr>
              <w:lastRenderedPageBreak/>
              <w:t>zawodowych.</w:t>
            </w: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2D9266B5" w14:textId="542B2843" w:rsidR="009575F2" w:rsidRDefault="009575F2" w:rsidP="009575F2">
            <w:pPr>
              <w:pStyle w:val="Inne0"/>
              <w:shd w:val="clear" w:color="auto" w:fill="auto"/>
              <w:spacing w:before="120" w:after="120"/>
              <w:ind w:left="131" w:right="138"/>
              <w:rPr>
                <w:rFonts w:ascii="Lato" w:eastAsia="Arial" w:hAnsi="Lato" w:cs="Arial"/>
                <w:sz w:val="18"/>
                <w:szCs w:val="18"/>
              </w:rPr>
            </w:pPr>
            <w:r w:rsidRPr="009521C9">
              <w:rPr>
                <w:rFonts w:ascii="Lato" w:eastAsia="Arial" w:hAnsi="Lato" w:cs="Arial"/>
                <w:sz w:val="18"/>
                <w:szCs w:val="18"/>
              </w:rPr>
              <w:lastRenderedPageBreak/>
              <w:t>Zgłoszona uwaga jest poza zakresem prac Komitetu do spraw Cyfryzacji.</w:t>
            </w:r>
          </w:p>
          <w:p w14:paraId="275319DE" w14:textId="02A61A57" w:rsidR="009575F2" w:rsidRDefault="009575F2" w:rsidP="009575F2">
            <w:pPr>
              <w:pStyle w:val="Inne0"/>
              <w:shd w:val="clear" w:color="auto" w:fill="auto"/>
              <w:spacing w:before="120" w:after="120"/>
              <w:ind w:left="131" w:right="138"/>
              <w:rPr>
                <w:rFonts w:ascii="Lato" w:eastAsia="Arial" w:hAnsi="Lato" w:cs="Arial"/>
                <w:sz w:val="18"/>
                <w:szCs w:val="18"/>
              </w:rPr>
            </w:pPr>
            <w:r w:rsidRPr="009521C9">
              <w:rPr>
                <w:rFonts w:ascii="Lato" w:eastAsia="Arial" w:hAnsi="Lato" w:cs="Arial"/>
                <w:sz w:val="18"/>
                <w:szCs w:val="18"/>
              </w:rPr>
              <w:t xml:space="preserve">Ministerstwo Rozwoju i Technologii podtrzymuje </w:t>
            </w:r>
            <w:r w:rsidRPr="009521C9">
              <w:rPr>
                <w:rFonts w:ascii="Lato" w:eastAsia="Arial" w:hAnsi="Lato" w:cs="Arial"/>
                <w:sz w:val="18"/>
                <w:szCs w:val="18"/>
              </w:rPr>
              <w:lastRenderedPageBreak/>
              <w:t xml:space="preserve">stanowisko zawarte w lp. </w:t>
            </w:r>
            <w:r>
              <w:rPr>
                <w:rFonts w:ascii="Lato" w:eastAsia="Arial" w:hAnsi="Lato" w:cs="Arial"/>
                <w:sz w:val="18"/>
                <w:szCs w:val="18"/>
              </w:rPr>
              <w:t>9</w:t>
            </w:r>
            <w:r w:rsidRPr="009521C9">
              <w:rPr>
                <w:rFonts w:ascii="Lato" w:eastAsia="Arial" w:hAnsi="Lato" w:cs="Arial"/>
                <w:sz w:val="18"/>
                <w:szCs w:val="18"/>
              </w:rPr>
              <w:t xml:space="preserve"> </w:t>
            </w:r>
            <w:r>
              <w:rPr>
                <w:rFonts w:ascii="Lato" w:eastAsia="Arial" w:hAnsi="Lato" w:cs="Arial"/>
                <w:sz w:val="18"/>
                <w:szCs w:val="18"/>
              </w:rPr>
              <w:t>protokołu rozbieżności</w:t>
            </w:r>
            <w:r w:rsidRPr="009521C9">
              <w:rPr>
                <w:rFonts w:ascii="Lato" w:eastAsia="Arial" w:hAnsi="Lato" w:cs="Arial"/>
                <w:sz w:val="18"/>
                <w:szCs w:val="18"/>
              </w:rPr>
              <w:t xml:space="preserve"> przesłan</w:t>
            </w:r>
            <w:r>
              <w:rPr>
                <w:rFonts w:ascii="Lato" w:eastAsia="Arial" w:hAnsi="Lato" w:cs="Arial"/>
                <w:sz w:val="18"/>
                <w:szCs w:val="18"/>
              </w:rPr>
              <w:t>ego do Rządowego Centrum Legislacji</w:t>
            </w:r>
            <w:r w:rsidRPr="009521C9">
              <w:rPr>
                <w:rFonts w:ascii="Lato" w:eastAsia="Arial" w:hAnsi="Lato" w:cs="Arial"/>
                <w:sz w:val="18"/>
                <w:szCs w:val="18"/>
              </w:rPr>
              <w:t xml:space="preserve"> przy piśmie z dnia 17 kwietnia 2026 r.</w:t>
            </w:r>
            <w:r>
              <w:rPr>
                <w:rFonts w:ascii="Lato" w:eastAsia="Arial" w:hAnsi="Lato" w:cs="Arial"/>
                <w:sz w:val="18"/>
                <w:szCs w:val="18"/>
              </w:rPr>
              <w:t xml:space="preserve"> Przepisy ustawy z dnia 17 maja 1989 r. – Prawo geodezyjne i kartograficzne nigdy nie określały zawartości dziennika praktyk a jej wzór od 2013 r. określony był przepisami rozporządzenia zgodnie z delegacją ustawową zawartą w art. 45h ww. ustawy.</w:t>
            </w:r>
          </w:p>
          <w:p w14:paraId="79ECBE5D" w14:textId="77777777" w:rsidR="009575F2" w:rsidRPr="009521C9" w:rsidRDefault="009575F2" w:rsidP="009575F2">
            <w:pPr>
              <w:pStyle w:val="Inne0"/>
              <w:shd w:val="clear" w:color="auto" w:fill="auto"/>
              <w:spacing w:before="120" w:after="120"/>
              <w:ind w:left="131" w:right="138"/>
              <w:rPr>
                <w:rFonts w:ascii="Lato" w:eastAsia="Arial" w:hAnsi="Lato" w:cs="Arial"/>
                <w:sz w:val="18"/>
                <w:szCs w:val="18"/>
              </w:rPr>
            </w:pPr>
          </w:p>
          <w:p w14:paraId="6E0E7BC5" w14:textId="0C34159A" w:rsidR="00EA4C87" w:rsidRPr="009521C9" w:rsidRDefault="00EA4C87" w:rsidP="00E54DC7">
            <w:pPr>
              <w:pStyle w:val="Inne0"/>
              <w:shd w:val="clear" w:color="auto" w:fill="auto"/>
              <w:spacing w:before="120" w:after="120"/>
              <w:ind w:left="131" w:right="138"/>
              <w:rPr>
                <w:rFonts w:ascii="Lato" w:eastAsia="Arial" w:hAnsi="Lato" w:cs="Arial"/>
                <w:sz w:val="18"/>
                <w:szCs w:val="18"/>
              </w:rPr>
            </w:pPr>
          </w:p>
        </w:tc>
      </w:tr>
      <w:tr w:rsidR="00EA4C87" w:rsidRPr="009521C9" w14:paraId="1E7A6A1B" w14:textId="3CAF20B0" w:rsidTr="003005A0">
        <w:trPr>
          <w:trHeight w:val="20"/>
        </w:trPr>
        <w:tc>
          <w:tcPr>
            <w:tcW w:w="709" w:type="dxa"/>
            <w:tcBorders>
              <w:top w:val="single" w:sz="4" w:space="0" w:color="auto"/>
              <w:left w:val="single" w:sz="4" w:space="0" w:color="auto"/>
              <w:bottom w:val="single" w:sz="4" w:space="0" w:color="auto"/>
            </w:tcBorders>
            <w:shd w:val="clear" w:color="auto" w:fill="FFFFFF"/>
          </w:tcPr>
          <w:p w14:paraId="67F6F1BB" w14:textId="77777777" w:rsidR="00EA4C87" w:rsidRPr="009521C9" w:rsidRDefault="00EA4C87" w:rsidP="00B918CF">
            <w:pPr>
              <w:pStyle w:val="Inne0"/>
              <w:numPr>
                <w:ilvl w:val="0"/>
                <w:numId w:val="1"/>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07A48414" w14:textId="292ECA32" w:rsidR="00EA4C87" w:rsidRPr="009521C9" w:rsidRDefault="00EA4C87" w:rsidP="00E54DC7">
            <w:pPr>
              <w:pStyle w:val="Inne0"/>
              <w:shd w:val="clear" w:color="auto" w:fill="auto"/>
              <w:spacing w:before="120" w:after="120"/>
              <w:ind w:left="140"/>
              <w:rPr>
                <w:rFonts w:ascii="Lato" w:eastAsia="Arial" w:hAnsi="Lato" w:cs="Arial"/>
                <w:sz w:val="18"/>
                <w:szCs w:val="18"/>
              </w:rPr>
            </w:pPr>
            <w:r w:rsidRPr="009521C9">
              <w:rPr>
                <w:rFonts w:ascii="Lato" w:eastAsia="Arial" w:hAnsi="Lato" w:cs="Arial"/>
                <w:sz w:val="18"/>
                <w:szCs w:val="18"/>
              </w:rPr>
              <w:t>Rządowe Centrum Legislacji</w:t>
            </w:r>
          </w:p>
        </w:tc>
        <w:tc>
          <w:tcPr>
            <w:tcW w:w="5812" w:type="dxa"/>
            <w:tcBorders>
              <w:top w:val="single" w:sz="4" w:space="0" w:color="auto"/>
              <w:left w:val="single" w:sz="4" w:space="0" w:color="auto"/>
              <w:bottom w:val="single" w:sz="4" w:space="0" w:color="auto"/>
            </w:tcBorders>
            <w:shd w:val="clear" w:color="auto" w:fill="FFFFFF"/>
          </w:tcPr>
          <w:p w14:paraId="4E01C63B" w14:textId="77777777" w:rsidR="00EA4C87" w:rsidRPr="009521C9" w:rsidRDefault="00EA4C87" w:rsidP="00E54DC7">
            <w:pPr>
              <w:pStyle w:val="Teksttreci0"/>
              <w:spacing w:before="120" w:after="120"/>
              <w:ind w:left="130" w:right="274"/>
              <w:rPr>
                <w:rFonts w:ascii="Lato" w:eastAsia="Arial" w:hAnsi="Lato" w:cs="Arial"/>
                <w:sz w:val="18"/>
                <w:szCs w:val="18"/>
              </w:rPr>
            </w:pPr>
            <w:r w:rsidRPr="009521C9">
              <w:rPr>
                <w:rFonts w:ascii="Lato" w:eastAsia="Arial" w:hAnsi="Lato" w:cs="Arial"/>
                <w:sz w:val="18"/>
                <w:szCs w:val="18"/>
              </w:rPr>
              <w:t>art. 1 pkt 70 projektu ustawy w zakresie dodawanego art. 46u ust. 2a pkt 2</w:t>
            </w:r>
          </w:p>
          <w:p w14:paraId="4D6BB161" w14:textId="1C0D6504" w:rsidR="00EA4C87" w:rsidRPr="009521C9" w:rsidRDefault="00EA4C87" w:rsidP="00E54DC7">
            <w:pPr>
              <w:pStyle w:val="Teksttreci0"/>
              <w:spacing w:before="120" w:after="120"/>
              <w:ind w:left="130" w:right="274"/>
              <w:rPr>
                <w:rFonts w:ascii="Lato" w:eastAsia="Arial" w:hAnsi="Lato" w:cs="Arial"/>
                <w:sz w:val="18"/>
                <w:szCs w:val="18"/>
              </w:rPr>
            </w:pPr>
            <w:r w:rsidRPr="009521C9">
              <w:rPr>
                <w:rFonts w:ascii="Lato" w:eastAsia="Arial" w:hAnsi="Lato" w:cs="Arial"/>
                <w:sz w:val="18"/>
                <w:szCs w:val="18"/>
              </w:rPr>
              <w:t>RCL podtrzymuje uwagę zgłoszoną podczas uzgodnień projektu w piśmie z dnia 4 lutego 2026 r. wskazaną jako uwzględniona w lp. 65 zestawienia uwag do NT - w art. 1 pkt 70 projektu ustawy w dodawanym art. 46u ust. 2a pkt 2, zgodnie z którym do wydatków związanych z postępowaniem dyscyplinarnym należą koszty przejazdów członków komisji, rzecznika i innych osób z powodu czynności postępowania, dotyczącą dodania po wyrazie „rzecznika” wyrazu „dyscyplinarnego”.</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3780C655" w14:textId="4FDF0726" w:rsidR="00EA4C87" w:rsidRPr="009521C9" w:rsidRDefault="00EA4C87" w:rsidP="00E54DC7">
            <w:pPr>
              <w:pStyle w:val="Inne0"/>
              <w:shd w:val="clear" w:color="auto" w:fill="auto"/>
              <w:spacing w:before="120" w:after="120"/>
              <w:ind w:left="136" w:right="136"/>
              <w:rPr>
                <w:rFonts w:ascii="Lato" w:eastAsia="Arial" w:hAnsi="Lato" w:cs="Arial"/>
                <w:sz w:val="18"/>
                <w:szCs w:val="18"/>
              </w:rPr>
            </w:pPr>
            <w:r w:rsidRPr="009521C9">
              <w:rPr>
                <w:rFonts w:ascii="Lato" w:eastAsia="Arial" w:hAnsi="Lato" w:cs="Arial"/>
                <w:sz w:val="18"/>
                <w:szCs w:val="18"/>
              </w:rPr>
              <w:t>Doprecyzowanie jak przedstawiono w treści uwagi.</w:t>
            </w: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029F8650" w14:textId="16B47D91" w:rsidR="009575F2" w:rsidRDefault="009575F2" w:rsidP="009575F2">
            <w:pPr>
              <w:pStyle w:val="Inne0"/>
              <w:shd w:val="clear" w:color="auto" w:fill="auto"/>
              <w:spacing w:before="120" w:after="120"/>
              <w:ind w:left="131" w:right="138"/>
              <w:rPr>
                <w:rFonts w:ascii="Lato" w:eastAsia="Arial" w:hAnsi="Lato" w:cs="Arial"/>
                <w:sz w:val="18"/>
                <w:szCs w:val="18"/>
              </w:rPr>
            </w:pPr>
            <w:r w:rsidRPr="009521C9">
              <w:rPr>
                <w:rFonts w:ascii="Lato" w:eastAsia="Arial" w:hAnsi="Lato" w:cs="Arial"/>
                <w:sz w:val="18"/>
                <w:szCs w:val="18"/>
              </w:rPr>
              <w:t>Zgłoszona uwaga jest poza zakresem prac Komitetu do spraw Cyfryzacji.</w:t>
            </w:r>
          </w:p>
          <w:p w14:paraId="2585DDF9" w14:textId="3F91A3C8" w:rsidR="00EA4C87" w:rsidRPr="009521C9" w:rsidRDefault="009575F2" w:rsidP="00E54DC7">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redakcyjna została uwzględniona.</w:t>
            </w:r>
          </w:p>
        </w:tc>
      </w:tr>
      <w:tr w:rsidR="00EA4C87" w:rsidRPr="009521C9" w14:paraId="5145066C" w14:textId="1BA171BA" w:rsidTr="003005A0">
        <w:trPr>
          <w:trHeight w:val="20"/>
        </w:trPr>
        <w:tc>
          <w:tcPr>
            <w:tcW w:w="709" w:type="dxa"/>
            <w:tcBorders>
              <w:top w:val="single" w:sz="4" w:space="0" w:color="auto"/>
              <w:left w:val="single" w:sz="4" w:space="0" w:color="auto"/>
              <w:bottom w:val="single" w:sz="4" w:space="0" w:color="auto"/>
            </w:tcBorders>
            <w:shd w:val="clear" w:color="auto" w:fill="FFFFFF"/>
          </w:tcPr>
          <w:p w14:paraId="59455836" w14:textId="77777777" w:rsidR="00EA4C87" w:rsidRPr="009521C9" w:rsidRDefault="00EA4C87" w:rsidP="00B918CF">
            <w:pPr>
              <w:pStyle w:val="Inne0"/>
              <w:numPr>
                <w:ilvl w:val="0"/>
                <w:numId w:val="1"/>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5455F79E" w14:textId="030FB2BD" w:rsidR="00EA4C87" w:rsidRPr="009521C9" w:rsidRDefault="00EA4C87" w:rsidP="00E54DC7">
            <w:pPr>
              <w:pStyle w:val="Inne0"/>
              <w:shd w:val="clear" w:color="auto" w:fill="auto"/>
              <w:spacing w:before="120" w:after="120"/>
              <w:ind w:left="140"/>
              <w:rPr>
                <w:rFonts w:ascii="Lato" w:eastAsia="Arial" w:hAnsi="Lato" w:cs="Arial"/>
                <w:sz w:val="18"/>
                <w:szCs w:val="18"/>
              </w:rPr>
            </w:pPr>
            <w:r w:rsidRPr="009521C9">
              <w:rPr>
                <w:rFonts w:ascii="Lato" w:eastAsia="Arial" w:hAnsi="Lato" w:cs="Arial"/>
                <w:sz w:val="18"/>
                <w:szCs w:val="18"/>
              </w:rPr>
              <w:t>Rządowe Centrum Legislacji</w:t>
            </w:r>
          </w:p>
        </w:tc>
        <w:tc>
          <w:tcPr>
            <w:tcW w:w="5812" w:type="dxa"/>
            <w:tcBorders>
              <w:top w:val="single" w:sz="4" w:space="0" w:color="auto"/>
              <w:left w:val="single" w:sz="4" w:space="0" w:color="auto"/>
              <w:bottom w:val="single" w:sz="4" w:space="0" w:color="auto"/>
            </w:tcBorders>
            <w:shd w:val="clear" w:color="auto" w:fill="FFFFFF"/>
          </w:tcPr>
          <w:p w14:paraId="7121EBBC" w14:textId="77777777" w:rsidR="00EA4C87" w:rsidRPr="009521C9" w:rsidRDefault="00EA4C87" w:rsidP="00E54DC7">
            <w:pPr>
              <w:pStyle w:val="Inne0"/>
              <w:shd w:val="clear" w:color="auto" w:fill="auto"/>
              <w:spacing w:before="120" w:after="120"/>
              <w:ind w:left="138" w:right="274"/>
              <w:rPr>
                <w:rFonts w:ascii="Lato" w:eastAsia="Arial" w:hAnsi="Lato" w:cs="Arial"/>
                <w:sz w:val="18"/>
                <w:szCs w:val="18"/>
              </w:rPr>
            </w:pPr>
            <w:r w:rsidRPr="009521C9">
              <w:rPr>
                <w:rFonts w:ascii="Lato" w:eastAsia="Arial" w:hAnsi="Lato" w:cs="Arial"/>
                <w:sz w:val="18"/>
                <w:szCs w:val="18"/>
              </w:rPr>
              <w:t>art. 1 pkt 24 lit. d projektu ustawy w zakresie dodawanego w art. 24 ust. 2d</w:t>
            </w:r>
          </w:p>
          <w:p w14:paraId="010946BD" w14:textId="36D63518" w:rsidR="00EA4C87" w:rsidRPr="009521C9" w:rsidRDefault="00EA4C87" w:rsidP="00E54DC7">
            <w:pPr>
              <w:pStyle w:val="Inne0"/>
              <w:shd w:val="clear" w:color="auto" w:fill="auto"/>
              <w:spacing w:before="120" w:after="120"/>
              <w:ind w:left="138" w:right="274"/>
              <w:rPr>
                <w:rFonts w:ascii="Lato" w:eastAsia="Arial" w:hAnsi="Lato" w:cs="Arial"/>
                <w:sz w:val="18"/>
                <w:szCs w:val="18"/>
              </w:rPr>
            </w:pPr>
            <w:r w:rsidRPr="009521C9">
              <w:rPr>
                <w:rFonts w:ascii="Lato" w:eastAsia="Arial" w:hAnsi="Lato" w:cs="Arial"/>
                <w:sz w:val="18"/>
                <w:szCs w:val="18"/>
              </w:rPr>
              <w:t>Zgodnie z dodawanym nowym ust. 2d w art. 24 zmienianej ustawy aktualizacja informacji zawartych w ewidencji gruntów i budynków, dotycząca zmiany lasu na inny użytek gruntowy, jest dokonywana w uzgodnieniu z dyrektorem regionalnej dyrekcji Lasów Państwowych, który nie później niż w terminie 14 dni od dnia otrzymania wniosku o uzgodnienie może wnieść sprzeciw wobec zmiany informacji zawartych w ewidencji gruntów i budynków, a brak wniesienia sprzeciwu w tym terminie uznaje się za uzgodnienie zmiany. W opinii RCL w regulacjach określających procedurę uzgodnienia wątpliwości budzi wniesienie sprzeciwu. W ocenie RCL w przypadku procedury uzgodnienia we wskazanym terminie dyrektor regionalnej dyrekcji Lasów Państwowych powinien uzgodnić aktualizację informacji zawartych w ewidencji gruntów i budynków dotyczących zmiany lasu na inny użytek gruntowy albo odmówić ww. uzgodnienia.</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BEB6812" w14:textId="6D059BAE" w:rsidR="00EA4C87" w:rsidRPr="009521C9" w:rsidRDefault="00EA4C87" w:rsidP="00E54DC7">
            <w:pPr>
              <w:spacing w:before="120" w:after="120"/>
              <w:ind w:left="136" w:right="128"/>
              <w:rPr>
                <w:rFonts w:ascii="Lato" w:eastAsia="Arial" w:hAnsi="Lato" w:cs="Arial"/>
                <w:sz w:val="18"/>
                <w:szCs w:val="18"/>
              </w:rPr>
            </w:pPr>
            <w:r w:rsidRPr="009521C9">
              <w:rPr>
                <w:rFonts w:ascii="Lato" w:eastAsia="Arial" w:hAnsi="Lato" w:cs="Arial"/>
                <w:sz w:val="18"/>
                <w:szCs w:val="18"/>
              </w:rPr>
              <w:t>Zmiana konstrukcji art. 24 ust. 2d jak przedstawiono w treści uwagi.</w:t>
            </w: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082F97B7" w14:textId="2541D462" w:rsidR="002B4CBA" w:rsidRDefault="002B4CBA" w:rsidP="002B4CBA">
            <w:pPr>
              <w:pStyle w:val="Inne0"/>
              <w:shd w:val="clear" w:color="auto" w:fill="auto"/>
              <w:spacing w:before="120" w:after="120"/>
              <w:ind w:left="131" w:right="138"/>
              <w:rPr>
                <w:rFonts w:ascii="Lato" w:eastAsia="Arial" w:hAnsi="Lato" w:cs="Arial"/>
                <w:sz w:val="18"/>
                <w:szCs w:val="18"/>
              </w:rPr>
            </w:pPr>
            <w:r w:rsidRPr="009521C9">
              <w:rPr>
                <w:rFonts w:ascii="Lato" w:eastAsia="Arial" w:hAnsi="Lato" w:cs="Arial"/>
                <w:sz w:val="18"/>
                <w:szCs w:val="18"/>
              </w:rPr>
              <w:t>Zgłoszona uwaga jest poza zakresem prac Komitetu do spraw Cyfryzacji.</w:t>
            </w:r>
          </w:p>
          <w:p w14:paraId="1B949F00" w14:textId="255A04A3" w:rsidR="00EA4C87" w:rsidRPr="009521C9" w:rsidRDefault="002B4CBA" w:rsidP="002B4CBA">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została uwzględniona.</w:t>
            </w:r>
          </w:p>
        </w:tc>
      </w:tr>
      <w:tr w:rsidR="00EA4C87" w:rsidRPr="009521C9" w14:paraId="43B48A50" w14:textId="48D558FF" w:rsidTr="003005A0">
        <w:trPr>
          <w:trHeight w:val="20"/>
        </w:trPr>
        <w:tc>
          <w:tcPr>
            <w:tcW w:w="709" w:type="dxa"/>
            <w:tcBorders>
              <w:top w:val="single" w:sz="4" w:space="0" w:color="auto"/>
              <w:left w:val="single" w:sz="4" w:space="0" w:color="auto"/>
              <w:bottom w:val="single" w:sz="4" w:space="0" w:color="auto"/>
            </w:tcBorders>
            <w:shd w:val="clear" w:color="auto" w:fill="FFFFFF"/>
          </w:tcPr>
          <w:p w14:paraId="48744F0C" w14:textId="77777777" w:rsidR="00EA4C87" w:rsidRPr="009521C9" w:rsidRDefault="00EA4C87" w:rsidP="00B918CF">
            <w:pPr>
              <w:pStyle w:val="Inne0"/>
              <w:numPr>
                <w:ilvl w:val="0"/>
                <w:numId w:val="1"/>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31095E72" w14:textId="0C48B695" w:rsidR="00EA4C87" w:rsidRPr="009521C9" w:rsidRDefault="00EA4C87" w:rsidP="00E54DC7">
            <w:pPr>
              <w:pStyle w:val="Inne0"/>
              <w:shd w:val="clear" w:color="auto" w:fill="auto"/>
              <w:spacing w:before="120" w:after="120"/>
              <w:ind w:left="140"/>
              <w:rPr>
                <w:rFonts w:ascii="Lato" w:eastAsia="Arial" w:hAnsi="Lato" w:cs="Arial"/>
                <w:sz w:val="18"/>
                <w:szCs w:val="18"/>
              </w:rPr>
            </w:pPr>
            <w:r w:rsidRPr="009521C9">
              <w:rPr>
                <w:rFonts w:ascii="Lato" w:eastAsia="Arial" w:hAnsi="Lato" w:cs="Arial"/>
                <w:sz w:val="18"/>
                <w:szCs w:val="18"/>
              </w:rPr>
              <w:t>Rządowe Centrum Legislacji</w:t>
            </w:r>
          </w:p>
        </w:tc>
        <w:tc>
          <w:tcPr>
            <w:tcW w:w="5812" w:type="dxa"/>
            <w:tcBorders>
              <w:top w:val="single" w:sz="4" w:space="0" w:color="auto"/>
              <w:left w:val="single" w:sz="4" w:space="0" w:color="auto"/>
              <w:bottom w:val="single" w:sz="4" w:space="0" w:color="auto"/>
            </w:tcBorders>
            <w:shd w:val="clear" w:color="auto" w:fill="FFFFFF"/>
          </w:tcPr>
          <w:p w14:paraId="61D06078" w14:textId="4D198D1B" w:rsidR="00EA4C87" w:rsidRPr="009521C9" w:rsidRDefault="00EA4C87" w:rsidP="00E54DC7">
            <w:pPr>
              <w:pStyle w:val="Inne0"/>
              <w:spacing w:before="120" w:after="120"/>
              <w:ind w:left="138" w:right="274"/>
              <w:rPr>
                <w:rFonts w:ascii="Lato" w:eastAsia="Arial" w:hAnsi="Lato" w:cs="Arial"/>
                <w:sz w:val="18"/>
                <w:szCs w:val="18"/>
              </w:rPr>
            </w:pPr>
            <w:r w:rsidRPr="009521C9">
              <w:rPr>
                <w:rFonts w:ascii="Lato" w:eastAsia="Arial" w:hAnsi="Lato" w:cs="Arial"/>
                <w:sz w:val="18"/>
                <w:szCs w:val="18"/>
              </w:rPr>
              <w:t>art. 1 pkt 28 projektu ustawy w zakresie dodawanego art. 26c ust. 5</w:t>
            </w:r>
          </w:p>
          <w:p w14:paraId="4F790225" w14:textId="78014475" w:rsidR="00EA4C87" w:rsidRPr="009521C9" w:rsidRDefault="00EA4C87" w:rsidP="00E54DC7">
            <w:pPr>
              <w:pStyle w:val="Inne0"/>
              <w:spacing w:before="120" w:after="120"/>
              <w:ind w:left="138" w:right="274"/>
              <w:rPr>
                <w:rFonts w:ascii="Lato" w:eastAsia="Arial" w:hAnsi="Lato" w:cs="Arial"/>
                <w:sz w:val="18"/>
                <w:szCs w:val="18"/>
              </w:rPr>
            </w:pPr>
            <w:r w:rsidRPr="009521C9">
              <w:rPr>
                <w:rFonts w:ascii="Lato" w:eastAsia="Arial" w:hAnsi="Lato" w:cs="Arial"/>
                <w:sz w:val="18"/>
                <w:szCs w:val="18"/>
              </w:rPr>
              <w:t xml:space="preserve">Zgodnie z nową wersją art. 26c ust. 5 zmienianej ustawy starosta po odebraniu operatu klasyfikacyjnego potwierdzonego protokołem odbioru wydaje decyzję w sprawie o ustaleniu gleboznawczej klasyfikacji gruntów, decyzję o odmowie ustalenia gleboznawczej </w:t>
            </w:r>
            <w:r w:rsidRPr="009521C9">
              <w:rPr>
                <w:rFonts w:ascii="Lato" w:eastAsia="Arial" w:hAnsi="Lato" w:cs="Arial"/>
                <w:sz w:val="18"/>
                <w:szCs w:val="18"/>
              </w:rPr>
              <w:lastRenderedPageBreak/>
              <w:t>klasyfikacji lub decyzję o umorzeniu postępowania administracyjnego, a protokół odbioru operatu klasyfikacyjnego stanowi podstawę jego przyjęcia do państwowego zasobu geodezyjnego i kartograficznego. W opinii RCL, w kontekście zasady legalizmu, konieczne jest doprecyzowanie projektowanych regulacji przez określenie, w jakich przypadkach starosta wydaje decyzję o odmowie ustalenia gleboznawczej klasyfikacji gruntów, a w jakich przypadkach wydaje decyzję o umorzeniu postępowania administracyjnego.</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0543143" w14:textId="25A7C3E7" w:rsidR="00EA4C87" w:rsidRPr="009521C9" w:rsidRDefault="00EA4C87" w:rsidP="00E54DC7">
            <w:pPr>
              <w:pStyle w:val="Inne0"/>
              <w:shd w:val="clear" w:color="auto" w:fill="auto"/>
              <w:spacing w:before="120" w:after="120"/>
              <w:ind w:left="136" w:right="136"/>
              <w:rPr>
                <w:rFonts w:ascii="Lato" w:eastAsia="Arial" w:hAnsi="Lato" w:cs="Arial"/>
                <w:sz w:val="18"/>
                <w:szCs w:val="18"/>
              </w:rPr>
            </w:pPr>
            <w:r w:rsidRPr="009521C9">
              <w:rPr>
                <w:rFonts w:ascii="Lato" w:eastAsia="Arial" w:hAnsi="Lato" w:cs="Arial"/>
                <w:sz w:val="18"/>
                <w:szCs w:val="18"/>
              </w:rPr>
              <w:lastRenderedPageBreak/>
              <w:t>Doprecyzowanie jak przedstawiono w treści uwagi.</w:t>
            </w:r>
          </w:p>
        </w:tc>
        <w:tc>
          <w:tcPr>
            <w:tcW w:w="4820" w:type="dxa"/>
            <w:tcBorders>
              <w:top w:val="single" w:sz="4" w:space="0" w:color="auto"/>
              <w:left w:val="single" w:sz="4" w:space="0" w:color="auto"/>
              <w:bottom w:val="single" w:sz="4" w:space="0" w:color="auto"/>
              <w:right w:val="single" w:sz="4" w:space="0" w:color="auto"/>
            </w:tcBorders>
          </w:tcPr>
          <w:p w14:paraId="614AEC1C" w14:textId="697D699F" w:rsidR="002B4CBA" w:rsidRDefault="002B4CBA" w:rsidP="002B4CBA">
            <w:pPr>
              <w:pStyle w:val="Inne0"/>
              <w:shd w:val="clear" w:color="auto" w:fill="auto"/>
              <w:spacing w:before="120" w:after="120"/>
              <w:ind w:left="131" w:right="138"/>
              <w:rPr>
                <w:rFonts w:ascii="Lato" w:eastAsia="Arial" w:hAnsi="Lato" w:cs="Arial"/>
                <w:sz w:val="18"/>
                <w:szCs w:val="18"/>
              </w:rPr>
            </w:pPr>
            <w:r w:rsidRPr="009521C9">
              <w:rPr>
                <w:rFonts w:ascii="Lato" w:eastAsia="Arial" w:hAnsi="Lato" w:cs="Arial"/>
                <w:sz w:val="18"/>
                <w:szCs w:val="18"/>
              </w:rPr>
              <w:t>Zgłoszona uwaga jest poza zakresem prac Komitetu do spraw Cyfryzacji.</w:t>
            </w:r>
          </w:p>
          <w:p w14:paraId="3BC40554" w14:textId="3E5B2916" w:rsidR="00EA4C87" w:rsidRPr="009521C9" w:rsidRDefault="002B4CBA" w:rsidP="002B4CBA">
            <w:pPr>
              <w:pStyle w:val="Inne0"/>
              <w:spacing w:before="120" w:after="120"/>
              <w:ind w:left="138" w:right="274"/>
              <w:rPr>
                <w:rFonts w:ascii="Lato" w:eastAsia="Arial" w:hAnsi="Lato" w:cs="Arial"/>
                <w:sz w:val="18"/>
                <w:szCs w:val="18"/>
              </w:rPr>
            </w:pPr>
            <w:r>
              <w:rPr>
                <w:rFonts w:ascii="Lato" w:eastAsia="Arial" w:hAnsi="Lato" w:cs="Arial"/>
                <w:sz w:val="18"/>
                <w:szCs w:val="18"/>
              </w:rPr>
              <w:t xml:space="preserve">Uwaga nie została uwzględniona. Postępowanie w sprawie ustalenia gleboznawczej klasyfikacji gruntów jest postępowaniem administracyjnym i regulowane </w:t>
            </w:r>
            <w:r>
              <w:rPr>
                <w:rFonts w:ascii="Lato" w:eastAsia="Arial" w:hAnsi="Lato" w:cs="Arial"/>
                <w:sz w:val="18"/>
                <w:szCs w:val="18"/>
              </w:rPr>
              <w:lastRenderedPageBreak/>
              <w:t xml:space="preserve">jest przepisami ustawy </w:t>
            </w:r>
            <w:r w:rsidRPr="002B4CBA">
              <w:rPr>
                <w:rFonts w:ascii="Lato" w:eastAsia="Arial" w:hAnsi="Lato" w:cs="Arial"/>
                <w:sz w:val="18"/>
                <w:szCs w:val="18"/>
              </w:rPr>
              <w:t>z dnia 14 czerwca 1960 r. – Kodeks postępowania administracyjnego</w:t>
            </w:r>
            <w:r>
              <w:rPr>
                <w:rFonts w:ascii="Lato" w:eastAsia="Arial" w:hAnsi="Lato" w:cs="Arial"/>
                <w:sz w:val="18"/>
                <w:szCs w:val="18"/>
              </w:rPr>
              <w:t xml:space="preserve">. Już obecnie przy braku regulacji wynikających z projektowanych przepisów organ wydaje decyzje </w:t>
            </w:r>
            <w:r w:rsidRPr="002B4CBA">
              <w:rPr>
                <w:rFonts w:ascii="Lato" w:eastAsia="Arial" w:hAnsi="Lato" w:cs="Arial"/>
                <w:sz w:val="18"/>
                <w:szCs w:val="18"/>
              </w:rPr>
              <w:t>w sprawie o ustaleniu gleboznawczej klasyfikacji gruntów, decyzj</w:t>
            </w:r>
            <w:r>
              <w:rPr>
                <w:rFonts w:ascii="Lato" w:eastAsia="Arial" w:hAnsi="Lato" w:cs="Arial"/>
                <w:sz w:val="18"/>
                <w:szCs w:val="18"/>
              </w:rPr>
              <w:t>e</w:t>
            </w:r>
            <w:r w:rsidRPr="002B4CBA">
              <w:rPr>
                <w:rFonts w:ascii="Lato" w:eastAsia="Arial" w:hAnsi="Lato" w:cs="Arial"/>
                <w:sz w:val="18"/>
                <w:szCs w:val="18"/>
              </w:rPr>
              <w:t xml:space="preserve"> o odmowie ustalenia gleboznawczej klasyfikacji </w:t>
            </w:r>
            <w:r>
              <w:rPr>
                <w:rFonts w:ascii="Lato" w:eastAsia="Arial" w:hAnsi="Lato" w:cs="Arial"/>
                <w:sz w:val="18"/>
                <w:szCs w:val="18"/>
              </w:rPr>
              <w:t xml:space="preserve">oraz </w:t>
            </w:r>
            <w:r w:rsidRPr="002B4CBA">
              <w:rPr>
                <w:rFonts w:ascii="Lato" w:eastAsia="Arial" w:hAnsi="Lato" w:cs="Arial"/>
                <w:sz w:val="18"/>
                <w:szCs w:val="18"/>
              </w:rPr>
              <w:t>decyzj</w:t>
            </w:r>
            <w:r>
              <w:rPr>
                <w:rFonts w:ascii="Lato" w:eastAsia="Arial" w:hAnsi="Lato" w:cs="Arial"/>
                <w:sz w:val="18"/>
                <w:szCs w:val="18"/>
              </w:rPr>
              <w:t>e</w:t>
            </w:r>
            <w:r w:rsidRPr="002B4CBA">
              <w:rPr>
                <w:rFonts w:ascii="Lato" w:eastAsia="Arial" w:hAnsi="Lato" w:cs="Arial"/>
                <w:sz w:val="18"/>
                <w:szCs w:val="18"/>
              </w:rPr>
              <w:t xml:space="preserve"> o umorzeniu postępowania administracyjnego</w:t>
            </w:r>
            <w:r w:rsidR="00960627">
              <w:rPr>
                <w:rFonts w:ascii="Lato" w:eastAsia="Arial" w:hAnsi="Lato" w:cs="Arial"/>
                <w:sz w:val="18"/>
                <w:szCs w:val="18"/>
              </w:rPr>
              <w:t xml:space="preserve"> </w:t>
            </w:r>
            <w:r>
              <w:rPr>
                <w:rFonts w:ascii="Lato" w:eastAsia="Arial" w:hAnsi="Lato" w:cs="Arial"/>
                <w:sz w:val="18"/>
                <w:szCs w:val="18"/>
              </w:rPr>
              <w:t xml:space="preserve">– jest to bowiem postępowanie </w:t>
            </w:r>
            <w:r w:rsidR="00960627">
              <w:rPr>
                <w:rFonts w:ascii="Lato" w:eastAsia="Arial" w:hAnsi="Lato" w:cs="Arial"/>
                <w:sz w:val="18"/>
                <w:szCs w:val="18"/>
              </w:rPr>
              <w:t>administracyjne. Brak jest w opinii Projektodawcy uzasadnienia do literalnego określenia zamkniętego katalogu przypadków, w których wydaje się określone rodzaje decyzji.</w:t>
            </w:r>
          </w:p>
        </w:tc>
      </w:tr>
    </w:tbl>
    <w:p w14:paraId="188C6DC6" w14:textId="77777777" w:rsidR="004C0D89" w:rsidRPr="009521C9" w:rsidRDefault="004C0D89">
      <w:pPr>
        <w:rPr>
          <w:rFonts w:ascii="Lato" w:hAnsi="Lato"/>
          <w:sz w:val="18"/>
          <w:szCs w:val="18"/>
        </w:rPr>
      </w:pPr>
    </w:p>
    <w:sectPr w:rsidR="004C0D89" w:rsidRPr="009521C9" w:rsidSect="00A1261B">
      <w:pgSz w:w="16838" w:h="11906" w:orient="landscape" w:code="9"/>
      <w:pgMar w:top="720" w:right="720" w:bottom="720" w:left="720" w:header="987" w:footer="987"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EAF79" w14:textId="77777777" w:rsidR="00900134" w:rsidRDefault="00900134">
      <w:r>
        <w:separator/>
      </w:r>
    </w:p>
  </w:endnote>
  <w:endnote w:type="continuationSeparator" w:id="0">
    <w:p w14:paraId="12D14AB0" w14:textId="77777777" w:rsidR="00900134" w:rsidRDefault="00900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Lato">
    <w:altName w:val="Segoe UI"/>
    <w:charset w:val="00"/>
    <w:family w:val="swiss"/>
    <w:pitch w:val="variable"/>
    <w:sig w:usb0="E10002FF" w:usb1="5000ECFF" w:usb2="0000002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AF563" w14:textId="77777777" w:rsidR="00900134" w:rsidRDefault="00900134"/>
  </w:footnote>
  <w:footnote w:type="continuationSeparator" w:id="0">
    <w:p w14:paraId="4B5B14C0" w14:textId="77777777" w:rsidR="00900134" w:rsidRDefault="0090013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E30ED9"/>
    <w:multiLevelType w:val="hybridMultilevel"/>
    <w:tmpl w:val="82162BF0"/>
    <w:lvl w:ilvl="0" w:tplc="04150011">
      <w:start w:val="1"/>
      <w:numFmt w:val="decimal"/>
      <w:lvlText w:val="%1)"/>
      <w:lvlJc w:val="left"/>
      <w:pPr>
        <w:ind w:left="858" w:hanging="360"/>
      </w:pPr>
    </w:lvl>
    <w:lvl w:ilvl="1" w:tplc="04150019" w:tentative="1">
      <w:start w:val="1"/>
      <w:numFmt w:val="lowerLetter"/>
      <w:lvlText w:val="%2."/>
      <w:lvlJc w:val="left"/>
      <w:pPr>
        <w:ind w:left="1578" w:hanging="360"/>
      </w:pPr>
    </w:lvl>
    <w:lvl w:ilvl="2" w:tplc="0415001B" w:tentative="1">
      <w:start w:val="1"/>
      <w:numFmt w:val="lowerRoman"/>
      <w:lvlText w:val="%3."/>
      <w:lvlJc w:val="right"/>
      <w:pPr>
        <w:ind w:left="2298" w:hanging="180"/>
      </w:pPr>
    </w:lvl>
    <w:lvl w:ilvl="3" w:tplc="0415000F" w:tentative="1">
      <w:start w:val="1"/>
      <w:numFmt w:val="decimal"/>
      <w:lvlText w:val="%4."/>
      <w:lvlJc w:val="left"/>
      <w:pPr>
        <w:ind w:left="3018" w:hanging="360"/>
      </w:pPr>
    </w:lvl>
    <w:lvl w:ilvl="4" w:tplc="04150019" w:tentative="1">
      <w:start w:val="1"/>
      <w:numFmt w:val="lowerLetter"/>
      <w:lvlText w:val="%5."/>
      <w:lvlJc w:val="left"/>
      <w:pPr>
        <w:ind w:left="3738" w:hanging="360"/>
      </w:pPr>
    </w:lvl>
    <w:lvl w:ilvl="5" w:tplc="0415001B" w:tentative="1">
      <w:start w:val="1"/>
      <w:numFmt w:val="lowerRoman"/>
      <w:lvlText w:val="%6."/>
      <w:lvlJc w:val="right"/>
      <w:pPr>
        <w:ind w:left="4458" w:hanging="180"/>
      </w:pPr>
    </w:lvl>
    <w:lvl w:ilvl="6" w:tplc="0415000F" w:tentative="1">
      <w:start w:val="1"/>
      <w:numFmt w:val="decimal"/>
      <w:lvlText w:val="%7."/>
      <w:lvlJc w:val="left"/>
      <w:pPr>
        <w:ind w:left="5178" w:hanging="360"/>
      </w:pPr>
    </w:lvl>
    <w:lvl w:ilvl="7" w:tplc="04150019" w:tentative="1">
      <w:start w:val="1"/>
      <w:numFmt w:val="lowerLetter"/>
      <w:lvlText w:val="%8."/>
      <w:lvlJc w:val="left"/>
      <w:pPr>
        <w:ind w:left="5898" w:hanging="360"/>
      </w:pPr>
    </w:lvl>
    <w:lvl w:ilvl="8" w:tplc="0415001B" w:tentative="1">
      <w:start w:val="1"/>
      <w:numFmt w:val="lowerRoman"/>
      <w:lvlText w:val="%9."/>
      <w:lvlJc w:val="right"/>
      <w:pPr>
        <w:ind w:left="6618" w:hanging="180"/>
      </w:pPr>
    </w:lvl>
  </w:abstractNum>
  <w:abstractNum w:abstractNumId="1" w15:restartNumberingAfterBreak="0">
    <w:nsid w:val="394F5494"/>
    <w:multiLevelType w:val="hybridMultilevel"/>
    <w:tmpl w:val="C8CE0F58"/>
    <w:lvl w:ilvl="0" w:tplc="90A6D318">
      <w:start w:val="1"/>
      <w:numFmt w:val="decimal"/>
      <w:lvlText w:val="%1)"/>
      <w:lvlJc w:val="left"/>
      <w:pPr>
        <w:ind w:left="491" w:hanging="360"/>
      </w:pPr>
      <w:rPr>
        <w:rFonts w:hint="default"/>
      </w:rPr>
    </w:lvl>
    <w:lvl w:ilvl="1" w:tplc="04150019" w:tentative="1">
      <w:start w:val="1"/>
      <w:numFmt w:val="lowerLetter"/>
      <w:lvlText w:val="%2."/>
      <w:lvlJc w:val="left"/>
      <w:pPr>
        <w:ind w:left="1211" w:hanging="360"/>
      </w:pPr>
    </w:lvl>
    <w:lvl w:ilvl="2" w:tplc="0415001B" w:tentative="1">
      <w:start w:val="1"/>
      <w:numFmt w:val="lowerRoman"/>
      <w:lvlText w:val="%3."/>
      <w:lvlJc w:val="right"/>
      <w:pPr>
        <w:ind w:left="1931" w:hanging="180"/>
      </w:pPr>
    </w:lvl>
    <w:lvl w:ilvl="3" w:tplc="0415000F" w:tentative="1">
      <w:start w:val="1"/>
      <w:numFmt w:val="decimal"/>
      <w:lvlText w:val="%4."/>
      <w:lvlJc w:val="left"/>
      <w:pPr>
        <w:ind w:left="2651" w:hanging="360"/>
      </w:pPr>
    </w:lvl>
    <w:lvl w:ilvl="4" w:tplc="04150019" w:tentative="1">
      <w:start w:val="1"/>
      <w:numFmt w:val="lowerLetter"/>
      <w:lvlText w:val="%5."/>
      <w:lvlJc w:val="left"/>
      <w:pPr>
        <w:ind w:left="3371" w:hanging="360"/>
      </w:pPr>
    </w:lvl>
    <w:lvl w:ilvl="5" w:tplc="0415001B" w:tentative="1">
      <w:start w:val="1"/>
      <w:numFmt w:val="lowerRoman"/>
      <w:lvlText w:val="%6."/>
      <w:lvlJc w:val="right"/>
      <w:pPr>
        <w:ind w:left="4091" w:hanging="180"/>
      </w:pPr>
    </w:lvl>
    <w:lvl w:ilvl="6" w:tplc="0415000F" w:tentative="1">
      <w:start w:val="1"/>
      <w:numFmt w:val="decimal"/>
      <w:lvlText w:val="%7."/>
      <w:lvlJc w:val="left"/>
      <w:pPr>
        <w:ind w:left="4811" w:hanging="360"/>
      </w:pPr>
    </w:lvl>
    <w:lvl w:ilvl="7" w:tplc="04150019" w:tentative="1">
      <w:start w:val="1"/>
      <w:numFmt w:val="lowerLetter"/>
      <w:lvlText w:val="%8."/>
      <w:lvlJc w:val="left"/>
      <w:pPr>
        <w:ind w:left="5531" w:hanging="360"/>
      </w:pPr>
    </w:lvl>
    <w:lvl w:ilvl="8" w:tplc="0415001B" w:tentative="1">
      <w:start w:val="1"/>
      <w:numFmt w:val="lowerRoman"/>
      <w:lvlText w:val="%9."/>
      <w:lvlJc w:val="right"/>
      <w:pPr>
        <w:ind w:left="6251" w:hanging="180"/>
      </w:pPr>
    </w:lvl>
  </w:abstractNum>
  <w:abstractNum w:abstractNumId="2" w15:restartNumberingAfterBreak="0">
    <w:nsid w:val="4A4030ED"/>
    <w:multiLevelType w:val="hybridMultilevel"/>
    <w:tmpl w:val="ADAAC640"/>
    <w:lvl w:ilvl="0" w:tplc="F1108CCA">
      <w:start w:val="1"/>
      <w:numFmt w:val="decimal"/>
      <w:lvlText w:val="%1)"/>
      <w:lvlJc w:val="left"/>
      <w:pPr>
        <w:ind w:left="491" w:hanging="360"/>
      </w:pPr>
      <w:rPr>
        <w:rFonts w:hint="default"/>
      </w:rPr>
    </w:lvl>
    <w:lvl w:ilvl="1" w:tplc="04150019" w:tentative="1">
      <w:start w:val="1"/>
      <w:numFmt w:val="lowerLetter"/>
      <w:lvlText w:val="%2."/>
      <w:lvlJc w:val="left"/>
      <w:pPr>
        <w:ind w:left="1211" w:hanging="360"/>
      </w:pPr>
    </w:lvl>
    <w:lvl w:ilvl="2" w:tplc="0415001B" w:tentative="1">
      <w:start w:val="1"/>
      <w:numFmt w:val="lowerRoman"/>
      <w:lvlText w:val="%3."/>
      <w:lvlJc w:val="right"/>
      <w:pPr>
        <w:ind w:left="1931" w:hanging="180"/>
      </w:pPr>
    </w:lvl>
    <w:lvl w:ilvl="3" w:tplc="0415000F" w:tentative="1">
      <w:start w:val="1"/>
      <w:numFmt w:val="decimal"/>
      <w:lvlText w:val="%4."/>
      <w:lvlJc w:val="left"/>
      <w:pPr>
        <w:ind w:left="2651" w:hanging="360"/>
      </w:pPr>
    </w:lvl>
    <w:lvl w:ilvl="4" w:tplc="04150019" w:tentative="1">
      <w:start w:val="1"/>
      <w:numFmt w:val="lowerLetter"/>
      <w:lvlText w:val="%5."/>
      <w:lvlJc w:val="left"/>
      <w:pPr>
        <w:ind w:left="3371" w:hanging="360"/>
      </w:pPr>
    </w:lvl>
    <w:lvl w:ilvl="5" w:tplc="0415001B" w:tentative="1">
      <w:start w:val="1"/>
      <w:numFmt w:val="lowerRoman"/>
      <w:lvlText w:val="%6."/>
      <w:lvlJc w:val="right"/>
      <w:pPr>
        <w:ind w:left="4091" w:hanging="180"/>
      </w:pPr>
    </w:lvl>
    <w:lvl w:ilvl="6" w:tplc="0415000F" w:tentative="1">
      <w:start w:val="1"/>
      <w:numFmt w:val="decimal"/>
      <w:lvlText w:val="%7."/>
      <w:lvlJc w:val="left"/>
      <w:pPr>
        <w:ind w:left="4811" w:hanging="360"/>
      </w:pPr>
    </w:lvl>
    <w:lvl w:ilvl="7" w:tplc="04150019" w:tentative="1">
      <w:start w:val="1"/>
      <w:numFmt w:val="lowerLetter"/>
      <w:lvlText w:val="%8."/>
      <w:lvlJc w:val="left"/>
      <w:pPr>
        <w:ind w:left="5531" w:hanging="360"/>
      </w:pPr>
    </w:lvl>
    <w:lvl w:ilvl="8" w:tplc="0415001B" w:tentative="1">
      <w:start w:val="1"/>
      <w:numFmt w:val="lowerRoman"/>
      <w:lvlText w:val="%9."/>
      <w:lvlJc w:val="right"/>
      <w:pPr>
        <w:ind w:left="6251" w:hanging="180"/>
      </w:pPr>
    </w:lvl>
  </w:abstractNum>
  <w:abstractNum w:abstractNumId="3" w15:restartNumberingAfterBreak="0">
    <w:nsid w:val="556C4ADB"/>
    <w:multiLevelType w:val="hybridMultilevel"/>
    <w:tmpl w:val="EC46C32A"/>
    <w:lvl w:ilvl="0" w:tplc="F79CE0CA">
      <w:start w:val="1"/>
      <w:numFmt w:val="bullet"/>
      <w:lvlText w:val=""/>
      <w:lvlJc w:val="left"/>
      <w:pPr>
        <w:ind w:left="858" w:hanging="360"/>
      </w:pPr>
      <w:rPr>
        <w:rFonts w:ascii="Symbol" w:hAnsi="Symbol" w:hint="default"/>
      </w:rPr>
    </w:lvl>
    <w:lvl w:ilvl="1" w:tplc="04150003" w:tentative="1">
      <w:start w:val="1"/>
      <w:numFmt w:val="bullet"/>
      <w:lvlText w:val="o"/>
      <w:lvlJc w:val="left"/>
      <w:pPr>
        <w:ind w:left="1578" w:hanging="360"/>
      </w:pPr>
      <w:rPr>
        <w:rFonts w:ascii="Courier New" w:hAnsi="Courier New" w:cs="Courier New" w:hint="default"/>
      </w:rPr>
    </w:lvl>
    <w:lvl w:ilvl="2" w:tplc="04150005" w:tentative="1">
      <w:start w:val="1"/>
      <w:numFmt w:val="bullet"/>
      <w:lvlText w:val=""/>
      <w:lvlJc w:val="left"/>
      <w:pPr>
        <w:ind w:left="2298" w:hanging="360"/>
      </w:pPr>
      <w:rPr>
        <w:rFonts w:ascii="Wingdings" w:hAnsi="Wingdings" w:hint="default"/>
      </w:rPr>
    </w:lvl>
    <w:lvl w:ilvl="3" w:tplc="04150001" w:tentative="1">
      <w:start w:val="1"/>
      <w:numFmt w:val="bullet"/>
      <w:lvlText w:val=""/>
      <w:lvlJc w:val="left"/>
      <w:pPr>
        <w:ind w:left="3018" w:hanging="360"/>
      </w:pPr>
      <w:rPr>
        <w:rFonts w:ascii="Symbol" w:hAnsi="Symbol" w:hint="default"/>
      </w:rPr>
    </w:lvl>
    <w:lvl w:ilvl="4" w:tplc="04150003" w:tentative="1">
      <w:start w:val="1"/>
      <w:numFmt w:val="bullet"/>
      <w:lvlText w:val="o"/>
      <w:lvlJc w:val="left"/>
      <w:pPr>
        <w:ind w:left="3738" w:hanging="360"/>
      </w:pPr>
      <w:rPr>
        <w:rFonts w:ascii="Courier New" w:hAnsi="Courier New" w:cs="Courier New" w:hint="default"/>
      </w:rPr>
    </w:lvl>
    <w:lvl w:ilvl="5" w:tplc="04150005" w:tentative="1">
      <w:start w:val="1"/>
      <w:numFmt w:val="bullet"/>
      <w:lvlText w:val=""/>
      <w:lvlJc w:val="left"/>
      <w:pPr>
        <w:ind w:left="4458" w:hanging="360"/>
      </w:pPr>
      <w:rPr>
        <w:rFonts w:ascii="Wingdings" w:hAnsi="Wingdings" w:hint="default"/>
      </w:rPr>
    </w:lvl>
    <w:lvl w:ilvl="6" w:tplc="04150001" w:tentative="1">
      <w:start w:val="1"/>
      <w:numFmt w:val="bullet"/>
      <w:lvlText w:val=""/>
      <w:lvlJc w:val="left"/>
      <w:pPr>
        <w:ind w:left="5178" w:hanging="360"/>
      </w:pPr>
      <w:rPr>
        <w:rFonts w:ascii="Symbol" w:hAnsi="Symbol" w:hint="default"/>
      </w:rPr>
    </w:lvl>
    <w:lvl w:ilvl="7" w:tplc="04150003" w:tentative="1">
      <w:start w:val="1"/>
      <w:numFmt w:val="bullet"/>
      <w:lvlText w:val="o"/>
      <w:lvlJc w:val="left"/>
      <w:pPr>
        <w:ind w:left="5898" w:hanging="360"/>
      </w:pPr>
      <w:rPr>
        <w:rFonts w:ascii="Courier New" w:hAnsi="Courier New" w:cs="Courier New" w:hint="default"/>
      </w:rPr>
    </w:lvl>
    <w:lvl w:ilvl="8" w:tplc="04150005" w:tentative="1">
      <w:start w:val="1"/>
      <w:numFmt w:val="bullet"/>
      <w:lvlText w:val=""/>
      <w:lvlJc w:val="left"/>
      <w:pPr>
        <w:ind w:left="6618" w:hanging="360"/>
      </w:pPr>
      <w:rPr>
        <w:rFonts w:ascii="Wingdings" w:hAnsi="Wingdings" w:hint="default"/>
      </w:rPr>
    </w:lvl>
  </w:abstractNum>
  <w:abstractNum w:abstractNumId="4" w15:restartNumberingAfterBreak="0">
    <w:nsid w:val="57A93970"/>
    <w:multiLevelType w:val="hybridMultilevel"/>
    <w:tmpl w:val="62748828"/>
    <w:lvl w:ilvl="0" w:tplc="04150011">
      <w:start w:val="1"/>
      <w:numFmt w:val="decimal"/>
      <w:lvlText w:val="%1)"/>
      <w:lvlJc w:val="left"/>
      <w:pPr>
        <w:ind w:left="858" w:hanging="360"/>
      </w:pPr>
    </w:lvl>
    <w:lvl w:ilvl="1" w:tplc="04150019" w:tentative="1">
      <w:start w:val="1"/>
      <w:numFmt w:val="lowerLetter"/>
      <w:lvlText w:val="%2."/>
      <w:lvlJc w:val="left"/>
      <w:pPr>
        <w:ind w:left="1578" w:hanging="360"/>
      </w:pPr>
    </w:lvl>
    <w:lvl w:ilvl="2" w:tplc="0415001B" w:tentative="1">
      <w:start w:val="1"/>
      <w:numFmt w:val="lowerRoman"/>
      <w:lvlText w:val="%3."/>
      <w:lvlJc w:val="right"/>
      <w:pPr>
        <w:ind w:left="2298" w:hanging="180"/>
      </w:pPr>
    </w:lvl>
    <w:lvl w:ilvl="3" w:tplc="0415000F" w:tentative="1">
      <w:start w:val="1"/>
      <w:numFmt w:val="decimal"/>
      <w:lvlText w:val="%4."/>
      <w:lvlJc w:val="left"/>
      <w:pPr>
        <w:ind w:left="3018" w:hanging="360"/>
      </w:pPr>
    </w:lvl>
    <w:lvl w:ilvl="4" w:tplc="04150019" w:tentative="1">
      <w:start w:val="1"/>
      <w:numFmt w:val="lowerLetter"/>
      <w:lvlText w:val="%5."/>
      <w:lvlJc w:val="left"/>
      <w:pPr>
        <w:ind w:left="3738" w:hanging="360"/>
      </w:pPr>
    </w:lvl>
    <w:lvl w:ilvl="5" w:tplc="0415001B" w:tentative="1">
      <w:start w:val="1"/>
      <w:numFmt w:val="lowerRoman"/>
      <w:lvlText w:val="%6."/>
      <w:lvlJc w:val="right"/>
      <w:pPr>
        <w:ind w:left="4458" w:hanging="180"/>
      </w:pPr>
    </w:lvl>
    <w:lvl w:ilvl="6" w:tplc="0415000F" w:tentative="1">
      <w:start w:val="1"/>
      <w:numFmt w:val="decimal"/>
      <w:lvlText w:val="%7."/>
      <w:lvlJc w:val="left"/>
      <w:pPr>
        <w:ind w:left="5178" w:hanging="360"/>
      </w:pPr>
    </w:lvl>
    <w:lvl w:ilvl="7" w:tplc="04150019" w:tentative="1">
      <w:start w:val="1"/>
      <w:numFmt w:val="lowerLetter"/>
      <w:lvlText w:val="%8."/>
      <w:lvlJc w:val="left"/>
      <w:pPr>
        <w:ind w:left="5898" w:hanging="360"/>
      </w:pPr>
    </w:lvl>
    <w:lvl w:ilvl="8" w:tplc="0415001B" w:tentative="1">
      <w:start w:val="1"/>
      <w:numFmt w:val="lowerRoman"/>
      <w:lvlText w:val="%9."/>
      <w:lvlJc w:val="right"/>
      <w:pPr>
        <w:ind w:left="6618" w:hanging="180"/>
      </w:pPr>
    </w:lvl>
  </w:abstractNum>
  <w:abstractNum w:abstractNumId="5" w15:restartNumberingAfterBreak="0">
    <w:nsid w:val="5A495A60"/>
    <w:multiLevelType w:val="hybridMultilevel"/>
    <w:tmpl w:val="86167E06"/>
    <w:lvl w:ilvl="0" w:tplc="C06477FC">
      <w:start w:val="1"/>
      <w:numFmt w:val="decimal"/>
      <w:lvlText w:val="%1)"/>
      <w:lvlJc w:val="left"/>
      <w:pPr>
        <w:ind w:left="708" w:hanging="570"/>
      </w:pPr>
      <w:rPr>
        <w:rFonts w:hint="default"/>
      </w:rPr>
    </w:lvl>
    <w:lvl w:ilvl="1" w:tplc="04150019" w:tentative="1">
      <w:start w:val="1"/>
      <w:numFmt w:val="lowerLetter"/>
      <w:lvlText w:val="%2."/>
      <w:lvlJc w:val="left"/>
      <w:pPr>
        <w:ind w:left="1218" w:hanging="360"/>
      </w:pPr>
    </w:lvl>
    <w:lvl w:ilvl="2" w:tplc="0415001B" w:tentative="1">
      <w:start w:val="1"/>
      <w:numFmt w:val="lowerRoman"/>
      <w:lvlText w:val="%3."/>
      <w:lvlJc w:val="right"/>
      <w:pPr>
        <w:ind w:left="1938" w:hanging="180"/>
      </w:pPr>
    </w:lvl>
    <w:lvl w:ilvl="3" w:tplc="0415000F" w:tentative="1">
      <w:start w:val="1"/>
      <w:numFmt w:val="decimal"/>
      <w:lvlText w:val="%4."/>
      <w:lvlJc w:val="left"/>
      <w:pPr>
        <w:ind w:left="2658" w:hanging="360"/>
      </w:pPr>
    </w:lvl>
    <w:lvl w:ilvl="4" w:tplc="04150019" w:tentative="1">
      <w:start w:val="1"/>
      <w:numFmt w:val="lowerLetter"/>
      <w:lvlText w:val="%5."/>
      <w:lvlJc w:val="left"/>
      <w:pPr>
        <w:ind w:left="3378" w:hanging="360"/>
      </w:pPr>
    </w:lvl>
    <w:lvl w:ilvl="5" w:tplc="0415001B" w:tentative="1">
      <w:start w:val="1"/>
      <w:numFmt w:val="lowerRoman"/>
      <w:lvlText w:val="%6."/>
      <w:lvlJc w:val="right"/>
      <w:pPr>
        <w:ind w:left="4098" w:hanging="180"/>
      </w:pPr>
    </w:lvl>
    <w:lvl w:ilvl="6" w:tplc="0415000F" w:tentative="1">
      <w:start w:val="1"/>
      <w:numFmt w:val="decimal"/>
      <w:lvlText w:val="%7."/>
      <w:lvlJc w:val="left"/>
      <w:pPr>
        <w:ind w:left="4818" w:hanging="360"/>
      </w:pPr>
    </w:lvl>
    <w:lvl w:ilvl="7" w:tplc="04150019" w:tentative="1">
      <w:start w:val="1"/>
      <w:numFmt w:val="lowerLetter"/>
      <w:lvlText w:val="%8."/>
      <w:lvlJc w:val="left"/>
      <w:pPr>
        <w:ind w:left="5538" w:hanging="360"/>
      </w:pPr>
    </w:lvl>
    <w:lvl w:ilvl="8" w:tplc="0415001B" w:tentative="1">
      <w:start w:val="1"/>
      <w:numFmt w:val="lowerRoman"/>
      <w:lvlText w:val="%9."/>
      <w:lvlJc w:val="right"/>
      <w:pPr>
        <w:ind w:left="6258" w:hanging="180"/>
      </w:pPr>
    </w:lvl>
  </w:abstractNum>
  <w:abstractNum w:abstractNumId="6" w15:restartNumberingAfterBreak="0">
    <w:nsid w:val="5B103F4F"/>
    <w:multiLevelType w:val="hybridMultilevel"/>
    <w:tmpl w:val="F5E86AFE"/>
    <w:lvl w:ilvl="0" w:tplc="F79CE0CA">
      <w:start w:val="1"/>
      <w:numFmt w:val="bullet"/>
      <w:lvlText w:val=""/>
      <w:lvlJc w:val="left"/>
      <w:pPr>
        <w:ind w:left="858" w:hanging="360"/>
      </w:pPr>
      <w:rPr>
        <w:rFonts w:ascii="Symbol" w:hAnsi="Symbol" w:hint="default"/>
      </w:rPr>
    </w:lvl>
    <w:lvl w:ilvl="1" w:tplc="04150003" w:tentative="1">
      <w:start w:val="1"/>
      <w:numFmt w:val="bullet"/>
      <w:lvlText w:val="o"/>
      <w:lvlJc w:val="left"/>
      <w:pPr>
        <w:ind w:left="1578" w:hanging="360"/>
      </w:pPr>
      <w:rPr>
        <w:rFonts w:ascii="Courier New" w:hAnsi="Courier New" w:cs="Courier New" w:hint="default"/>
      </w:rPr>
    </w:lvl>
    <w:lvl w:ilvl="2" w:tplc="04150005" w:tentative="1">
      <w:start w:val="1"/>
      <w:numFmt w:val="bullet"/>
      <w:lvlText w:val=""/>
      <w:lvlJc w:val="left"/>
      <w:pPr>
        <w:ind w:left="2298" w:hanging="360"/>
      </w:pPr>
      <w:rPr>
        <w:rFonts w:ascii="Wingdings" w:hAnsi="Wingdings" w:hint="default"/>
      </w:rPr>
    </w:lvl>
    <w:lvl w:ilvl="3" w:tplc="04150001" w:tentative="1">
      <w:start w:val="1"/>
      <w:numFmt w:val="bullet"/>
      <w:lvlText w:val=""/>
      <w:lvlJc w:val="left"/>
      <w:pPr>
        <w:ind w:left="3018" w:hanging="360"/>
      </w:pPr>
      <w:rPr>
        <w:rFonts w:ascii="Symbol" w:hAnsi="Symbol" w:hint="default"/>
      </w:rPr>
    </w:lvl>
    <w:lvl w:ilvl="4" w:tplc="04150003" w:tentative="1">
      <w:start w:val="1"/>
      <w:numFmt w:val="bullet"/>
      <w:lvlText w:val="o"/>
      <w:lvlJc w:val="left"/>
      <w:pPr>
        <w:ind w:left="3738" w:hanging="360"/>
      </w:pPr>
      <w:rPr>
        <w:rFonts w:ascii="Courier New" w:hAnsi="Courier New" w:cs="Courier New" w:hint="default"/>
      </w:rPr>
    </w:lvl>
    <w:lvl w:ilvl="5" w:tplc="04150005" w:tentative="1">
      <w:start w:val="1"/>
      <w:numFmt w:val="bullet"/>
      <w:lvlText w:val=""/>
      <w:lvlJc w:val="left"/>
      <w:pPr>
        <w:ind w:left="4458" w:hanging="360"/>
      </w:pPr>
      <w:rPr>
        <w:rFonts w:ascii="Wingdings" w:hAnsi="Wingdings" w:hint="default"/>
      </w:rPr>
    </w:lvl>
    <w:lvl w:ilvl="6" w:tplc="04150001" w:tentative="1">
      <w:start w:val="1"/>
      <w:numFmt w:val="bullet"/>
      <w:lvlText w:val=""/>
      <w:lvlJc w:val="left"/>
      <w:pPr>
        <w:ind w:left="5178" w:hanging="360"/>
      </w:pPr>
      <w:rPr>
        <w:rFonts w:ascii="Symbol" w:hAnsi="Symbol" w:hint="default"/>
      </w:rPr>
    </w:lvl>
    <w:lvl w:ilvl="7" w:tplc="04150003" w:tentative="1">
      <w:start w:val="1"/>
      <w:numFmt w:val="bullet"/>
      <w:lvlText w:val="o"/>
      <w:lvlJc w:val="left"/>
      <w:pPr>
        <w:ind w:left="5898" w:hanging="360"/>
      </w:pPr>
      <w:rPr>
        <w:rFonts w:ascii="Courier New" w:hAnsi="Courier New" w:cs="Courier New" w:hint="default"/>
      </w:rPr>
    </w:lvl>
    <w:lvl w:ilvl="8" w:tplc="04150005" w:tentative="1">
      <w:start w:val="1"/>
      <w:numFmt w:val="bullet"/>
      <w:lvlText w:val=""/>
      <w:lvlJc w:val="left"/>
      <w:pPr>
        <w:ind w:left="6618" w:hanging="360"/>
      </w:pPr>
      <w:rPr>
        <w:rFonts w:ascii="Wingdings" w:hAnsi="Wingdings" w:hint="default"/>
      </w:rPr>
    </w:lvl>
  </w:abstractNum>
  <w:abstractNum w:abstractNumId="7" w15:restartNumberingAfterBreak="0">
    <w:nsid w:val="66E77DFA"/>
    <w:multiLevelType w:val="hybridMultilevel"/>
    <w:tmpl w:val="5EBE2A9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6D534F67"/>
    <w:multiLevelType w:val="multilevel"/>
    <w:tmpl w:val="DFBE3D3A"/>
    <w:lvl w:ilvl="0">
      <w:start w:val="2"/>
      <w:numFmt w:val="decimal"/>
      <w:lvlText w:val="%1."/>
      <w:lvlJc w:val="left"/>
      <w:rPr>
        <w:rFonts w:ascii="Arial" w:eastAsia="Arial" w:hAnsi="Arial" w:cs="Arial"/>
        <w:b w:val="0"/>
        <w:bCs w:val="0"/>
        <w:i/>
        <w:iCs/>
        <w:smallCaps w:val="0"/>
        <w:strike w:val="0"/>
        <w:color w:val="000000"/>
        <w:spacing w:val="0"/>
        <w:w w:val="100"/>
        <w:position w:val="0"/>
        <w:sz w:val="18"/>
        <w:szCs w:val="18"/>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135222664">
    <w:abstractNumId w:val="7"/>
  </w:num>
  <w:num w:numId="2" w16cid:durableId="883558830">
    <w:abstractNumId w:val="2"/>
  </w:num>
  <w:num w:numId="3" w16cid:durableId="620649025">
    <w:abstractNumId w:val="1"/>
  </w:num>
  <w:num w:numId="4" w16cid:durableId="1274167363">
    <w:abstractNumId w:val="8"/>
  </w:num>
  <w:num w:numId="5" w16cid:durableId="25566708">
    <w:abstractNumId w:val="4"/>
  </w:num>
  <w:num w:numId="6" w16cid:durableId="378744763">
    <w:abstractNumId w:val="6"/>
  </w:num>
  <w:num w:numId="7" w16cid:durableId="401492204">
    <w:abstractNumId w:val="3"/>
  </w:num>
  <w:num w:numId="8" w16cid:durableId="219824426">
    <w:abstractNumId w:val="0"/>
  </w:num>
  <w:num w:numId="9" w16cid:durableId="1099181651">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4462"/>
    <w:rsid w:val="0000342F"/>
    <w:rsid w:val="00003700"/>
    <w:rsid w:val="00003B7A"/>
    <w:rsid w:val="000123D5"/>
    <w:rsid w:val="00015BF2"/>
    <w:rsid w:val="00020C56"/>
    <w:rsid w:val="000256A4"/>
    <w:rsid w:val="000337DF"/>
    <w:rsid w:val="00041BB8"/>
    <w:rsid w:val="0004467D"/>
    <w:rsid w:val="00046E73"/>
    <w:rsid w:val="0005063C"/>
    <w:rsid w:val="00052537"/>
    <w:rsid w:val="0005539B"/>
    <w:rsid w:val="000558E7"/>
    <w:rsid w:val="00070C87"/>
    <w:rsid w:val="00072D00"/>
    <w:rsid w:val="000800D9"/>
    <w:rsid w:val="00085DFD"/>
    <w:rsid w:val="00086628"/>
    <w:rsid w:val="0009506D"/>
    <w:rsid w:val="0009751E"/>
    <w:rsid w:val="000A0C40"/>
    <w:rsid w:val="000A7F07"/>
    <w:rsid w:val="000B29AE"/>
    <w:rsid w:val="000B4496"/>
    <w:rsid w:val="000D3830"/>
    <w:rsid w:val="000D38AE"/>
    <w:rsid w:val="000E467D"/>
    <w:rsid w:val="000E79BF"/>
    <w:rsid w:val="000F3F7C"/>
    <w:rsid w:val="000F5FDB"/>
    <w:rsid w:val="0010560A"/>
    <w:rsid w:val="00110B93"/>
    <w:rsid w:val="0011409F"/>
    <w:rsid w:val="00114B38"/>
    <w:rsid w:val="001165FF"/>
    <w:rsid w:val="00123F74"/>
    <w:rsid w:val="001270E5"/>
    <w:rsid w:val="0013011E"/>
    <w:rsid w:val="00131ACB"/>
    <w:rsid w:val="00135700"/>
    <w:rsid w:val="00136704"/>
    <w:rsid w:val="00144D43"/>
    <w:rsid w:val="00146BEF"/>
    <w:rsid w:val="00150163"/>
    <w:rsid w:val="0015105A"/>
    <w:rsid w:val="00152521"/>
    <w:rsid w:val="001548B6"/>
    <w:rsid w:val="00160F73"/>
    <w:rsid w:val="001678F1"/>
    <w:rsid w:val="00167C19"/>
    <w:rsid w:val="00172440"/>
    <w:rsid w:val="00174018"/>
    <w:rsid w:val="001766B2"/>
    <w:rsid w:val="0018193E"/>
    <w:rsid w:val="0018453D"/>
    <w:rsid w:val="001A0E67"/>
    <w:rsid w:val="001A57F3"/>
    <w:rsid w:val="001A6D74"/>
    <w:rsid w:val="001B20B3"/>
    <w:rsid w:val="001B4103"/>
    <w:rsid w:val="001C137B"/>
    <w:rsid w:val="001C551C"/>
    <w:rsid w:val="001D2FBE"/>
    <w:rsid w:val="001D39EA"/>
    <w:rsid w:val="001D4A92"/>
    <w:rsid w:val="001D4C5A"/>
    <w:rsid w:val="001D6320"/>
    <w:rsid w:val="0020254C"/>
    <w:rsid w:val="00202C63"/>
    <w:rsid w:val="00207174"/>
    <w:rsid w:val="00207432"/>
    <w:rsid w:val="00210447"/>
    <w:rsid w:val="00213C38"/>
    <w:rsid w:val="0021598C"/>
    <w:rsid w:val="00215DF2"/>
    <w:rsid w:val="0022750A"/>
    <w:rsid w:val="002335BA"/>
    <w:rsid w:val="00241124"/>
    <w:rsid w:val="00242A21"/>
    <w:rsid w:val="00245FF1"/>
    <w:rsid w:val="002522B7"/>
    <w:rsid w:val="00252B61"/>
    <w:rsid w:val="00253503"/>
    <w:rsid w:val="00254D5A"/>
    <w:rsid w:val="002569D1"/>
    <w:rsid w:val="002605B8"/>
    <w:rsid w:val="0026086C"/>
    <w:rsid w:val="00260E91"/>
    <w:rsid w:val="00262296"/>
    <w:rsid w:val="0027125F"/>
    <w:rsid w:val="00282C7C"/>
    <w:rsid w:val="00284972"/>
    <w:rsid w:val="0028686B"/>
    <w:rsid w:val="00297BA2"/>
    <w:rsid w:val="002B2C02"/>
    <w:rsid w:val="002B469B"/>
    <w:rsid w:val="002B4CBA"/>
    <w:rsid w:val="002B4E17"/>
    <w:rsid w:val="002C565B"/>
    <w:rsid w:val="002D362E"/>
    <w:rsid w:val="002D3CCF"/>
    <w:rsid w:val="002E09CC"/>
    <w:rsid w:val="002E2692"/>
    <w:rsid w:val="002E6B9B"/>
    <w:rsid w:val="002F0FAF"/>
    <w:rsid w:val="002F5E05"/>
    <w:rsid w:val="002F74CC"/>
    <w:rsid w:val="003005A0"/>
    <w:rsid w:val="00310866"/>
    <w:rsid w:val="00312230"/>
    <w:rsid w:val="00314A02"/>
    <w:rsid w:val="00321B55"/>
    <w:rsid w:val="00321D70"/>
    <w:rsid w:val="003260F1"/>
    <w:rsid w:val="00327255"/>
    <w:rsid w:val="00333442"/>
    <w:rsid w:val="0033786E"/>
    <w:rsid w:val="00337942"/>
    <w:rsid w:val="00343B58"/>
    <w:rsid w:val="00344D22"/>
    <w:rsid w:val="00347CBF"/>
    <w:rsid w:val="0035030C"/>
    <w:rsid w:val="00354C31"/>
    <w:rsid w:val="00356876"/>
    <w:rsid w:val="00363FCA"/>
    <w:rsid w:val="00365E08"/>
    <w:rsid w:val="0037208A"/>
    <w:rsid w:val="00376D2D"/>
    <w:rsid w:val="0037774A"/>
    <w:rsid w:val="00380D50"/>
    <w:rsid w:val="0038500B"/>
    <w:rsid w:val="003865A1"/>
    <w:rsid w:val="00393C9C"/>
    <w:rsid w:val="003A1B79"/>
    <w:rsid w:val="003A1CE8"/>
    <w:rsid w:val="003B28BF"/>
    <w:rsid w:val="003B61F5"/>
    <w:rsid w:val="003C0F0B"/>
    <w:rsid w:val="003C1165"/>
    <w:rsid w:val="003C2608"/>
    <w:rsid w:val="003C2CAE"/>
    <w:rsid w:val="003C4530"/>
    <w:rsid w:val="003D0C6C"/>
    <w:rsid w:val="003D229E"/>
    <w:rsid w:val="003D5120"/>
    <w:rsid w:val="003E0052"/>
    <w:rsid w:val="003F2E7C"/>
    <w:rsid w:val="003F2F81"/>
    <w:rsid w:val="003F433F"/>
    <w:rsid w:val="003F7B79"/>
    <w:rsid w:val="00401287"/>
    <w:rsid w:val="0040312D"/>
    <w:rsid w:val="00404117"/>
    <w:rsid w:val="00404CAD"/>
    <w:rsid w:val="0041099F"/>
    <w:rsid w:val="004118A4"/>
    <w:rsid w:val="004137D2"/>
    <w:rsid w:val="00417027"/>
    <w:rsid w:val="00420D08"/>
    <w:rsid w:val="004240E6"/>
    <w:rsid w:val="00425F4D"/>
    <w:rsid w:val="00455206"/>
    <w:rsid w:val="004571CD"/>
    <w:rsid w:val="00462093"/>
    <w:rsid w:val="0046594B"/>
    <w:rsid w:val="00466577"/>
    <w:rsid w:val="0047538C"/>
    <w:rsid w:val="00475FFB"/>
    <w:rsid w:val="00477BD7"/>
    <w:rsid w:val="0048125A"/>
    <w:rsid w:val="004821BB"/>
    <w:rsid w:val="00482E88"/>
    <w:rsid w:val="004854EC"/>
    <w:rsid w:val="0049500E"/>
    <w:rsid w:val="004A1BDC"/>
    <w:rsid w:val="004A38E4"/>
    <w:rsid w:val="004B596F"/>
    <w:rsid w:val="004B6430"/>
    <w:rsid w:val="004C030E"/>
    <w:rsid w:val="004C0D89"/>
    <w:rsid w:val="004C4073"/>
    <w:rsid w:val="004D1DCA"/>
    <w:rsid w:val="004D4FEB"/>
    <w:rsid w:val="004E45A6"/>
    <w:rsid w:val="004E6C7C"/>
    <w:rsid w:val="004F7790"/>
    <w:rsid w:val="0050030B"/>
    <w:rsid w:val="00502AD4"/>
    <w:rsid w:val="0051054A"/>
    <w:rsid w:val="00522CF2"/>
    <w:rsid w:val="0052399E"/>
    <w:rsid w:val="00530C95"/>
    <w:rsid w:val="00533274"/>
    <w:rsid w:val="00544108"/>
    <w:rsid w:val="00551944"/>
    <w:rsid w:val="00552DA0"/>
    <w:rsid w:val="00554F5B"/>
    <w:rsid w:val="00556939"/>
    <w:rsid w:val="0056084B"/>
    <w:rsid w:val="005715CA"/>
    <w:rsid w:val="005715D6"/>
    <w:rsid w:val="0057191A"/>
    <w:rsid w:val="00573CA7"/>
    <w:rsid w:val="005904DA"/>
    <w:rsid w:val="00593E76"/>
    <w:rsid w:val="0059757B"/>
    <w:rsid w:val="005A1438"/>
    <w:rsid w:val="005A1DAE"/>
    <w:rsid w:val="005A3F2B"/>
    <w:rsid w:val="005A61A3"/>
    <w:rsid w:val="005C2586"/>
    <w:rsid w:val="005C2D75"/>
    <w:rsid w:val="005C558E"/>
    <w:rsid w:val="005C5AF8"/>
    <w:rsid w:val="005C6D51"/>
    <w:rsid w:val="005D059D"/>
    <w:rsid w:val="005E3851"/>
    <w:rsid w:val="005F0335"/>
    <w:rsid w:val="005F652A"/>
    <w:rsid w:val="005F7047"/>
    <w:rsid w:val="00602577"/>
    <w:rsid w:val="00603164"/>
    <w:rsid w:val="00605526"/>
    <w:rsid w:val="0061068B"/>
    <w:rsid w:val="00611566"/>
    <w:rsid w:val="006139FD"/>
    <w:rsid w:val="00615806"/>
    <w:rsid w:val="006158D6"/>
    <w:rsid w:val="00620F1D"/>
    <w:rsid w:val="00622418"/>
    <w:rsid w:val="00623152"/>
    <w:rsid w:val="00624404"/>
    <w:rsid w:val="00625442"/>
    <w:rsid w:val="00625C5B"/>
    <w:rsid w:val="006264BD"/>
    <w:rsid w:val="00635A91"/>
    <w:rsid w:val="0063781A"/>
    <w:rsid w:val="00642228"/>
    <w:rsid w:val="00651938"/>
    <w:rsid w:val="00654E4F"/>
    <w:rsid w:val="006557AC"/>
    <w:rsid w:val="00656F3C"/>
    <w:rsid w:val="006615D1"/>
    <w:rsid w:val="006673B7"/>
    <w:rsid w:val="00672577"/>
    <w:rsid w:val="006741A7"/>
    <w:rsid w:val="00685FA8"/>
    <w:rsid w:val="00690AA8"/>
    <w:rsid w:val="006A2BC5"/>
    <w:rsid w:val="006B46F1"/>
    <w:rsid w:val="006C3C0B"/>
    <w:rsid w:val="006C6BAA"/>
    <w:rsid w:val="006D00B5"/>
    <w:rsid w:val="006D5615"/>
    <w:rsid w:val="006E044C"/>
    <w:rsid w:val="006E3708"/>
    <w:rsid w:val="006E3C94"/>
    <w:rsid w:val="006E3F94"/>
    <w:rsid w:val="006F2F90"/>
    <w:rsid w:val="006F5ED2"/>
    <w:rsid w:val="0070061A"/>
    <w:rsid w:val="00701CB3"/>
    <w:rsid w:val="0071113B"/>
    <w:rsid w:val="0071131A"/>
    <w:rsid w:val="0071269F"/>
    <w:rsid w:val="00716999"/>
    <w:rsid w:val="00716A21"/>
    <w:rsid w:val="007307BB"/>
    <w:rsid w:val="00732704"/>
    <w:rsid w:val="00740B5A"/>
    <w:rsid w:val="00743A55"/>
    <w:rsid w:val="007443D6"/>
    <w:rsid w:val="007466B0"/>
    <w:rsid w:val="007512B7"/>
    <w:rsid w:val="0075252C"/>
    <w:rsid w:val="00763326"/>
    <w:rsid w:val="0076344C"/>
    <w:rsid w:val="00770D96"/>
    <w:rsid w:val="00773FC0"/>
    <w:rsid w:val="0078029D"/>
    <w:rsid w:val="00783F8D"/>
    <w:rsid w:val="00785269"/>
    <w:rsid w:val="007857CC"/>
    <w:rsid w:val="00787601"/>
    <w:rsid w:val="00787CC8"/>
    <w:rsid w:val="00796BEF"/>
    <w:rsid w:val="007A57F0"/>
    <w:rsid w:val="007B1A59"/>
    <w:rsid w:val="007B4B69"/>
    <w:rsid w:val="007C53F1"/>
    <w:rsid w:val="007C5837"/>
    <w:rsid w:val="007C5D5A"/>
    <w:rsid w:val="007D1765"/>
    <w:rsid w:val="007D279B"/>
    <w:rsid w:val="007D2B75"/>
    <w:rsid w:val="007D43AE"/>
    <w:rsid w:val="007D4A6D"/>
    <w:rsid w:val="007D7605"/>
    <w:rsid w:val="007D7C1E"/>
    <w:rsid w:val="007E1998"/>
    <w:rsid w:val="007E2C66"/>
    <w:rsid w:val="007E6446"/>
    <w:rsid w:val="007F1E39"/>
    <w:rsid w:val="007F2446"/>
    <w:rsid w:val="007F5699"/>
    <w:rsid w:val="007F606C"/>
    <w:rsid w:val="008036B3"/>
    <w:rsid w:val="008057FC"/>
    <w:rsid w:val="00811D56"/>
    <w:rsid w:val="00813292"/>
    <w:rsid w:val="00815735"/>
    <w:rsid w:val="008178A3"/>
    <w:rsid w:val="00822D4D"/>
    <w:rsid w:val="00825C36"/>
    <w:rsid w:val="008261A0"/>
    <w:rsid w:val="00831E40"/>
    <w:rsid w:val="00832174"/>
    <w:rsid w:val="008333E7"/>
    <w:rsid w:val="00834420"/>
    <w:rsid w:val="0083493B"/>
    <w:rsid w:val="00835860"/>
    <w:rsid w:val="00836444"/>
    <w:rsid w:val="008431A0"/>
    <w:rsid w:val="00847B90"/>
    <w:rsid w:val="00852DC2"/>
    <w:rsid w:val="00853D24"/>
    <w:rsid w:val="00856036"/>
    <w:rsid w:val="00857BD1"/>
    <w:rsid w:val="00857CC5"/>
    <w:rsid w:val="00862C10"/>
    <w:rsid w:val="008771EC"/>
    <w:rsid w:val="008832B3"/>
    <w:rsid w:val="008846F4"/>
    <w:rsid w:val="008936CB"/>
    <w:rsid w:val="00893988"/>
    <w:rsid w:val="00893CE1"/>
    <w:rsid w:val="008954DE"/>
    <w:rsid w:val="00897D9A"/>
    <w:rsid w:val="008A0915"/>
    <w:rsid w:val="008A1326"/>
    <w:rsid w:val="008B13E4"/>
    <w:rsid w:val="008B579D"/>
    <w:rsid w:val="008B5DE5"/>
    <w:rsid w:val="008B779F"/>
    <w:rsid w:val="008C0562"/>
    <w:rsid w:val="008C400D"/>
    <w:rsid w:val="008C78A4"/>
    <w:rsid w:val="008D3515"/>
    <w:rsid w:val="008D6C35"/>
    <w:rsid w:val="008E36AA"/>
    <w:rsid w:val="008E51DE"/>
    <w:rsid w:val="008E714B"/>
    <w:rsid w:val="008F2F3D"/>
    <w:rsid w:val="008F5E4D"/>
    <w:rsid w:val="008F5EA2"/>
    <w:rsid w:val="008F7D9F"/>
    <w:rsid w:val="00900134"/>
    <w:rsid w:val="00913C4C"/>
    <w:rsid w:val="009145AE"/>
    <w:rsid w:val="009161C3"/>
    <w:rsid w:val="0092261C"/>
    <w:rsid w:val="00924DEA"/>
    <w:rsid w:val="0093413A"/>
    <w:rsid w:val="009368A8"/>
    <w:rsid w:val="009372E9"/>
    <w:rsid w:val="009402E7"/>
    <w:rsid w:val="00941613"/>
    <w:rsid w:val="00943A6C"/>
    <w:rsid w:val="009440D3"/>
    <w:rsid w:val="00951303"/>
    <w:rsid w:val="009521C9"/>
    <w:rsid w:val="009575F2"/>
    <w:rsid w:val="00960627"/>
    <w:rsid w:val="009619C9"/>
    <w:rsid w:val="00964A50"/>
    <w:rsid w:val="00965646"/>
    <w:rsid w:val="009666CC"/>
    <w:rsid w:val="0097143B"/>
    <w:rsid w:val="0098479F"/>
    <w:rsid w:val="009858C3"/>
    <w:rsid w:val="00995C34"/>
    <w:rsid w:val="009A2065"/>
    <w:rsid w:val="009A6DE6"/>
    <w:rsid w:val="009B06B7"/>
    <w:rsid w:val="009B175B"/>
    <w:rsid w:val="009B2225"/>
    <w:rsid w:val="009B30D6"/>
    <w:rsid w:val="009C0989"/>
    <w:rsid w:val="009C1519"/>
    <w:rsid w:val="009C6AF4"/>
    <w:rsid w:val="009D1BDD"/>
    <w:rsid w:val="009D61EC"/>
    <w:rsid w:val="009D777D"/>
    <w:rsid w:val="009D7D31"/>
    <w:rsid w:val="009D7FB0"/>
    <w:rsid w:val="009F0C8E"/>
    <w:rsid w:val="009F51CC"/>
    <w:rsid w:val="00A060D6"/>
    <w:rsid w:val="00A1261B"/>
    <w:rsid w:val="00A16182"/>
    <w:rsid w:val="00A167C5"/>
    <w:rsid w:val="00A20262"/>
    <w:rsid w:val="00A20D87"/>
    <w:rsid w:val="00A2519F"/>
    <w:rsid w:val="00A35DDB"/>
    <w:rsid w:val="00A37990"/>
    <w:rsid w:val="00A440C8"/>
    <w:rsid w:val="00A4428E"/>
    <w:rsid w:val="00A457C6"/>
    <w:rsid w:val="00A4728A"/>
    <w:rsid w:val="00A50C43"/>
    <w:rsid w:val="00A52195"/>
    <w:rsid w:val="00A5531D"/>
    <w:rsid w:val="00A564C5"/>
    <w:rsid w:val="00A60627"/>
    <w:rsid w:val="00A67978"/>
    <w:rsid w:val="00A726B0"/>
    <w:rsid w:val="00A72ADB"/>
    <w:rsid w:val="00A73F70"/>
    <w:rsid w:val="00A8078F"/>
    <w:rsid w:val="00A827B4"/>
    <w:rsid w:val="00A82C45"/>
    <w:rsid w:val="00A82C8C"/>
    <w:rsid w:val="00A85320"/>
    <w:rsid w:val="00A87EB1"/>
    <w:rsid w:val="00A95457"/>
    <w:rsid w:val="00A95D8E"/>
    <w:rsid w:val="00A974F5"/>
    <w:rsid w:val="00AA0953"/>
    <w:rsid w:val="00AA1304"/>
    <w:rsid w:val="00AA483F"/>
    <w:rsid w:val="00AC0F24"/>
    <w:rsid w:val="00AE10B7"/>
    <w:rsid w:val="00AF0669"/>
    <w:rsid w:val="00AF1C92"/>
    <w:rsid w:val="00AF4D2D"/>
    <w:rsid w:val="00B026B7"/>
    <w:rsid w:val="00B026BD"/>
    <w:rsid w:val="00B0327C"/>
    <w:rsid w:val="00B07378"/>
    <w:rsid w:val="00B1354B"/>
    <w:rsid w:val="00B214E5"/>
    <w:rsid w:val="00B334EC"/>
    <w:rsid w:val="00B34BB9"/>
    <w:rsid w:val="00B41C5B"/>
    <w:rsid w:val="00B41D9E"/>
    <w:rsid w:val="00B42596"/>
    <w:rsid w:val="00B47243"/>
    <w:rsid w:val="00B52459"/>
    <w:rsid w:val="00B674A2"/>
    <w:rsid w:val="00B752D1"/>
    <w:rsid w:val="00B75458"/>
    <w:rsid w:val="00B77263"/>
    <w:rsid w:val="00B82746"/>
    <w:rsid w:val="00B918CF"/>
    <w:rsid w:val="00B92890"/>
    <w:rsid w:val="00B92892"/>
    <w:rsid w:val="00BA0201"/>
    <w:rsid w:val="00BB740A"/>
    <w:rsid w:val="00BC200C"/>
    <w:rsid w:val="00BC7438"/>
    <w:rsid w:val="00BD21D3"/>
    <w:rsid w:val="00BD2BBE"/>
    <w:rsid w:val="00BD4D14"/>
    <w:rsid w:val="00BD5403"/>
    <w:rsid w:val="00BE17C8"/>
    <w:rsid w:val="00BE2C35"/>
    <w:rsid w:val="00BE7212"/>
    <w:rsid w:val="00BF3525"/>
    <w:rsid w:val="00BF4462"/>
    <w:rsid w:val="00C00CF7"/>
    <w:rsid w:val="00C02FF4"/>
    <w:rsid w:val="00C10003"/>
    <w:rsid w:val="00C10DE2"/>
    <w:rsid w:val="00C205D1"/>
    <w:rsid w:val="00C206B9"/>
    <w:rsid w:val="00C250B1"/>
    <w:rsid w:val="00C2557D"/>
    <w:rsid w:val="00C31862"/>
    <w:rsid w:val="00C31E78"/>
    <w:rsid w:val="00C32C31"/>
    <w:rsid w:val="00C335A6"/>
    <w:rsid w:val="00C4497D"/>
    <w:rsid w:val="00C45BE5"/>
    <w:rsid w:val="00C46F43"/>
    <w:rsid w:val="00C510DC"/>
    <w:rsid w:val="00C576F1"/>
    <w:rsid w:val="00C6097A"/>
    <w:rsid w:val="00C615C0"/>
    <w:rsid w:val="00C62439"/>
    <w:rsid w:val="00C6358F"/>
    <w:rsid w:val="00C64C63"/>
    <w:rsid w:val="00C661D8"/>
    <w:rsid w:val="00C66FC0"/>
    <w:rsid w:val="00C72E50"/>
    <w:rsid w:val="00C73279"/>
    <w:rsid w:val="00C73599"/>
    <w:rsid w:val="00C7378A"/>
    <w:rsid w:val="00C818FB"/>
    <w:rsid w:val="00C8296E"/>
    <w:rsid w:val="00C84465"/>
    <w:rsid w:val="00C85C60"/>
    <w:rsid w:val="00C90E86"/>
    <w:rsid w:val="00C92225"/>
    <w:rsid w:val="00C926D1"/>
    <w:rsid w:val="00CA41C5"/>
    <w:rsid w:val="00CA5338"/>
    <w:rsid w:val="00CA5D57"/>
    <w:rsid w:val="00CA65E2"/>
    <w:rsid w:val="00CA6B69"/>
    <w:rsid w:val="00CB18CE"/>
    <w:rsid w:val="00CC08D3"/>
    <w:rsid w:val="00CD0432"/>
    <w:rsid w:val="00CD19D8"/>
    <w:rsid w:val="00CD2813"/>
    <w:rsid w:val="00CD2C5D"/>
    <w:rsid w:val="00CE023E"/>
    <w:rsid w:val="00CE7647"/>
    <w:rsid w:val="00D05C8F"/>
    <w:rsid w:val="00D06C3F"/>
    <w:rsid w:val="00D12E8E"/>
    <w:rsid w:val="00D16C9D"/>
    <w:rsid w:val="00D21271"/>
    <w:rsid w:val="00D21907"/>
    <w:rsid w:val="00D27735"/>
    <w:rsid w:val="00D303F1"/>
    <w:rsid w:val="00D37D55"/>
    <w:rsid w:val="00D41357"/>
    <w:rsid w:val="00D435BF"/>
    <w:rsid w:val="00D47E24"/>
    <w:rsid w:val="00D50888"/>
    <w:rsid w:val="00D50C46"/>
    <w:rsid w:val="00D538F1"/>
    <w:rsid w:val="00D53961"/>
    <w:rsid w:val="00D54ADC"/>
    <w:rsid w:val="00D56582"/>
    <w:rsid w:val="00D57C54"/>
    <w:rsid w:val="00D642BE"/>
    <w:rsid w:val="00D65BBB"/>
    <w:rsid w:val="00D718E5"/>
    <w:rsid w:val="00D74456"/>
    <w:rsid w:val="00D7475F"/>
    <w:rsid w:val="00D76405"/>
    <w:rsid w:val="00D863CF"/>
    <w:rsid w:val="00D937CE"/>
    <w:rsid w:val="00D95C7E"/>
    <w:rsid w:val="00DA32A8"/>
    <w:rsid w:val="00DB3132"/>
    <w:rsid w:val="00DC18FA"/>
    <w:rsid w:val="00DC59A3"/>
    <w:rsid w:val="00DC63DB"/>
    <w:rsid w:val="00DD20E9"/>
    <w:rsid w:val="00DD2F7D"/>
    <w:rsid w:val="00DE792E"/>
    <w:rsid w:val="00DF068B"/>
    <w:rsid w:val="00DF431B"/>
    <w:rsid w:val="00DF4330"/>
    <w:rsid w:val="00DF57DD"/>
    <w:rsid w:val="00E06B89"/>
    <w:rsid w:val="00E24A59"/>
    <w:rsid w:val="00E27894"/>
    <w:rsid w:val="00E27B2D"/>
    <w:rsid w:val="00E30379"/>
    <w:rsid w:val="00E31EDC"/>
    <w:rsid w:val="00E36B0C"/>
    <w:rsid w:val="00E406EA"/>
    <w:rsid w:val="00E45D3A"/>
    <w:rsid w:val="00E54DC7"/>
    <w:rsid w:val="00E57968"/>
    <w:rsid w:val="00E60FBC"/>
    <w:rsid w:val="00E7794E"/>
    <w:rsid w:val="00E80C06"/>
    <w:rsid w:val="00E8225B"/>
    <w:rsid w:val="00E85323"/>
    <w:rsid w:val="00E91C94"/>
    <w:rsid w:val="00EA147A"/>
    <w:rsid w:val="00EA2AC2"/>
    <w:rsid w:val="00EA302A"/>
    <w:rsid w:val="00EA4C87"/>
    <w:rsid w:val="00EA7E0F"/>
    <w:rsid w:val="00EB1B71"/>
    <w:rsid w:val="00EB1E62"/>
    <w:rsid w:val="00EB4F5F"/>
    <w:rsid w:val="00EC2D84"/>
    <w:rsid w:val="00EC3B37"/>
    <w:rsid w:val="00EC3E8D"/>
    <w:rsid w:val="00EC5723"/>
    <w:rsid w:val="00EC7658"/>
    <w:rsid w:val="00ED0223"/>
    <w:rsid w:val="00ED255B"/>
    <w:rsid w:val="00ED274A"/>
    <w:rsid w:val="00ED4E8F"/>
    <w:rsid w:val="00ED4F02"/>
    <w:rsid w:val="00EE12C3"/>
    <w:rsid w:val="00EE1940"/>
    <w:rsid w:val="00EE3A46"/>
    <w:rsid w:val="00EE590E"/>
    <w:rsid w:val="00EE6CCF"/>
    <w:rsid w:val="00EF1407"/>
    <w:rsid w:val="00EF20E0"/>
    <w:rsid w:val="00EF4A28"/>
    <w:rsid w:val="00F010FC"/>
    <w:rsid w:val="00F01485"/>
    <w:rsid w:val="00F04F08"/>
    <w:rsid w:val="00F063E0"/>
    <w:rsid w:val="00F16BFF"/>
    <w:rsid w:val="00F22A79"/>
    <w:rsid w:val="00F2306D"/>
    <w:rsid w:val="00F260DE"/>
    <w:rsid w:val="00F3251C"/>
    <w:rsid w:val="00F402ED"/>
    <w:rsid w:val="00F458D6"/>
    <w:rsid w:val="00F45AFC"/>
    <w:rsid w:val="00F47239"/>
    <w:rsid w:val="00F47923"/>
    <w:rsid w:val="00F5145D"/>
    <w:rsid w:val="00F63D19"/>
    <w:rsid w:val="00F64C86"/>
    <w:rsid w:val="00F7319E"/>
    <w:rsid w:val="00F8095C"/>
    <w:rsid w:val="00F900F5"/>
    <w:rsid w:val="00F9021D"/>
    <w:rsid w:val="00F9313D"/>
    <w:rsid w:val="00F97EB4"/>
    <w:rsid w:val="00FA234D"/>
    <w:rsid w:val="00FB2E70"/>
    <w:rsid w:val="00FB70CF"/>
    <w:rsid w:val="00FC3274"/>
    <w:rsid w:val="00FC3E97"/>
    <w:rsid w:val="00FD061A"/>
    <w:rsid w:val="00FE221D"/>
    <w:rsid w:val="00FE4344"/>
    <w:rsid w:val="00FE7D9A"/>
    <w:rsid w:val="00FF2366"/>
    <w:rsid w:val="00FF507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971433"/>
  <w15:docId w15:val="{5A391CA5-BAE9-4730-842F-BAE67CA3C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Inne">
    <w:name w:val="Inne_"/>
    <w:basedOn w:val="Domylnaczcionkaakapitu"/>
    <w:link w:val="Inne0"/>
    <w:rPr>
      <w:rFonts w:ascii="Times New Roman" w:eastAsia="Times New Roman" w:hAnsi="Times New Roman" w:cs="Times New Roman"/>
      <w:b w:val="0"/>
      <w:bCs w:val="0"/>
      <w:i w:val="0"/>
      <w:iCs w:val="0"/>
      <w:smallCaps w:val="0"/>
      <w:strike w:val="0"/>
      <w:sz w:val="20"/>
      <w:szCs w:val="20"/>
      <w:u w:val="none"/>
    </w:rPr>
  </w:style>
  <w:style w:type="character" w:customStyle="1" w:styleId="Teksttreci">
    <w:name w:val="Tekst treści_"/>
    <w:basedOn w:val="Domylnaczcionkaakapitu"/>
    <w:link w:val="Teksttreci0"/>
    <w:rPr>
      <w:rFonts w:ascii="Times New Roman" w:eastAsia="Times New Roman" w:hAnsi="Times New Roman" w:cs="Times New Roman"/>
      <w:b w:val="0"/>
      <w:bCs w:val="0"/>
      <w:i w:val="0"/>
      <w:iCs w:val="0"/>
      <w:smallCaps w:val="0"/>
      <w:strike w:val="0"/>
      <w:sz w:val="20"/>
      <w:szCs w:val="20"/>
      <w:u w:val="none"/>
    </w:rPr>
  </w:style>
  <w:style w:type="paragraph" w:customStyle="1" w:styleId="Inne0">
    <w:name w:val="Inne"/>
    <w:basedOn w:val="Normalny"/>
    <w:link w:val="Inne"/>
    <w:pPr>
      <w:shd w:val="clear" w:color="auto" w:fill="FFFFFF"/>
    </w:pPr>
    <w:rPr>
      <w:rFonts w:ascii="Times New Roman" w:eastAsia="Times New Roman" w:hAnsi="Times New Roman" w:cs="Times New Roman"/>
      <w:sz w:val="20"/>
      <w:szCs w:val="20"/>
    </w:rPr>
  </w:style>
  <w:style w:type="paragraph" w:customStyle="1" w:styleId="Teksttreci0">
    <w:name w:val="Tekst treści"/>
    <w:basedOn w:val="Normalny"/>
    <w:link w:val="Teksttreci"/>
    <w:pPr>
      <w:shd w:val="clear" w:color="auto" w:fill="FFFFFF"/>
      <w:spacing w:after="140"/>
    </w:pPr>
    <w:rPr>
      <w:rFonts w:ascii="Times New Roman" w:eastAsia="Times New Roman" w:hAnsi="Times New Roman" w:cs="Times New Roman"/>
      <w:sz w:val="20"/>
      <w:szCs w:val="20"/>
    </w:rPr>
  </w:style>
  <w:style w:type="paragraph" w:customStyle="1" w:styleId="PKTpunkt">
    <w:name w:val="PKT – punkt"/>
    <w:uiPriority w:val="13"/>
    <w:qFormat/>
    <w:rsid w:val="00B47243"/>
    <w:pPr>
      <w:widowControl/>
      <w:spacing w:line="360" w:lineRule="auto"/>
      <w:ind w:left="510" w:hanging="510"/>
      <w:jc w:val="both"/>
    </w:pPr>
    <w:rPr>
      <w:rFonts w:ascii="Times" w:eastAsiaTheme="minorEastAsia" w:hAnsi="Times" w:cs="Arial"/>
      <w:bCs/>
      <w:szCs w:val="20"/>
      <w:lang w:bidi="ar-SA"/>
    </w:rPr>
  </w:style>
  <w:style w:type="paragraph" w:customStyle="1" w:styleId="LITlitera">
    <w:name w:val="LIT – litera"/>
    <w:basedOn w:val="PKTpunkt"/>
    <w:uiPriority w:val="14"/>
    <w:qFormat/>
    <w:rsid w:val="00B47243"/>
    <w:pPr>
      <w:ind w:left="986" w:hanging="476"/>
    </w:pPr>
  </w:style>
  <w:style w:type="paragraph" w:customStyle="1" w:styleId="ZLITPKTzmpktliter">
    <w:name w:val="Z_LIT/PKT – zm. pkt literą"/>
    <w:basedOn w:val="PKTpunkt"/>
    <w:uiPriority w:val="47"/>
    <w:qFormat/>
    <w:rsid w:val="00B47243"/>
    <w:pPr>
      <w:ind w:left="1497"/>
    </w:pPr>
  </w:style>
  <w:style w:type="paragraph" w:customStyle="1" w:styleId="ZLITLITwPKTzmlitwpktliter">
    <w:name w:val="Z_LIT/LIT_w_PKT – zm. lit. w pkt literą"/>
    <w:basedOn w:val="LITlitera"/>
    <w:uiPriority w:val="48"/>
    <w:qFormat/>
    <w:rsid w:val="00B47243"/>
    <w:pPr>
      <w:ind w:left="1973"/>
    </w:pPr>
  </w:style>
  <w:style w:type="paragraph" w:customStyle="1" w:styleId="ZUSTzmustartykuempunktem">
    <w:name w:val="Z/UST(§) – zm. ust. (§) artykułem (punktem)"/>
    <w:basedOn w:val="Normalny"/>
    <w:uiPriority w:val="30"/>
    <w:qFormat/>
    <w:rsid w:val="00C02FF4"/>
    <w:pPr>
      <w:widowControl/>
      <w:suppressAutoHyphens/>
      <w:autoSpaceDE w:val="0"/>
      <w:autoSpaceDN w:val="0"/>
      <w:adjustRightInd w:val="0"/>
      <w:spacing w:line="360" w:lineRule="auto"/>
      <w:ind w:left="510" w:firstLine="510"/>
      <w:jc w:val="both"/>
    </w:pPr>
    <w:rPr>
      <w:rFonts w:ascii="Times" w:eastAsiaTheme="minorEastAsia" w:hAnsi="Times" w:cs="Arial"/>
      <w:color w:val="auto"/>
      <w:szCs w:val="20"/>
      <w:lang w:bidi="ar-SA"/>
    </w:rPr>
  </w:style>
  <w:style w:type="paragraph" w:customStyle="1" w:styleId="ZPKTzmpktartykuempunktem">
    <w:name w:val="Z/PKT – zm. pkt artykułem (punktem)"/>
    <w:basedOn w:val="PKTpunkt"/>
    <w:uiPriority w:val="31"/>
    <w:qFormat/>
    <w:rsid w:val="00C02FF4"/>
    <w:pPr>
      <w:ind w:left="1020"/>
    </w:pPr>
  </w:style>
  <w:style w:type="paragraph" w:customStyle="1" w:styleId="ZARTzmartartykuempunktem">
    <w:name w:val="Z/ART(§) – zm. art. (§) artykułem (punktem)"/>
    <w:basedOn w:val="Normalny"/>
    <w:uiPriority w:val="30"/>
    <w:qFormat/>
    <w:rsid w:val="00C02FF4"/>
    <w:pPr>
      <w:widowControl/>
      <w:suppressAutoHyphens/>
      <w:autoSpaceDE w:val="0"/>
      <w:autoSpaceDN w:val="0"/>
      <w:adjustRightInd w:val="0"/>
      <w:spacing w:line="360" w:lineRule="auto"/>
      <w:ind w:left="510" w:firstLine="510"/>
      <w:jc w:val="both"/>
    </w:pPr>
    <w:rPr>
      <w:rFonts w:ascii="Times" w:eastAsiaTheme="minorEastAsia" w:hAnsi="Times" w:cs="Arial"/>
      <w:color w:val="auto"/>
      <w:szCs w:val="20"/>
      <w:lang w:bidi="ar-SA"/>
    </w:rPr>
  </w:style>
  <w:style w:type="paragraph" w:customStyle="1" w:styleId="ZLITUSTzmustliter">
    <w:name w:val="Z_LIT/UST(§) – zm. ust. (§) literą"/>
    <w:basedOn w:val="Normalny"/>
    <w:uiPriority w:val="46"/>
    <w:qFormat/>
    <w:rsid w:val="00462093"/>
    <w:pPr>
      <w:widowControl/>
      <w:suppressAutoHyphens/>
      <w:autoSpaceDE w:val="0"/>
      <w:autoSpaceDN w:val="0"/>
      <w:adjustRightInd w:val="0"/>
      <w:spacing w:line="360" w:lineRule="auto"/>
      <w:ind w:left="987" w:firstLine="510"/>
      <w:jc w:val="both"/>
    </w:pPr>
    <w:rPr>
      <w:rFonts w:ascii="Times" w:eastAsiaTheme="minorEastAsia" w:hAnsi="Times" w:cs="Arial"/>
      <w:bCs/>
      <w:color w:val="auto"/>
      <w:szCs w:val="20"/>
      <w:lang w:bidi="ar-SA"/>
    </w:rPr>
  </w:style>
  <w:style w:type="paragraph" w:styleId="Tekstkomentarza">
    <w:name w:val="annotation text"/>
    <w:basedOn w:val="Normalny"/>
    <w:link w:val="TekstkomentarzaZnak"/>
    <w:uiPriority w:val="99"/>
    <w:unhideWhenUsed/>
    <w:rsid w:val="00150163"/>
    <w:rPr>
      <w:sz w:val="20"/>
      <w:szCs w:val="20"/>
    </w:rPr>
  </w:style>
  <w:style w:type="character" w:customStyle="1" w:styleId="TekstkomentarzaZnak">
    <w:name w:val="Tekst komentarza Znak"/>
    <w:basedOn w:val="Domylnaczcionkaakapitu"/>
    <w:link w:val="Tekstkomentarza"/>
    <w:uiPriority w:val="99"/>
    <w:rsid w:val="00150163"/>
    <w:rPr>
      <w:color w:val="000000"/>
      <w:sz w:val="20"/>
      <w:szCs w:val="20"/>
    </w:rPr>
  </w:style>
  <w:style w:type="character" w:styleId="Odwoaniedokomentarza">
    <w:name w:val="annotation reference"/>
    <w:basedOn w:val="Domylnaczcionkaakapitu"/>
    <w:uiPriority w:val="99"/>
    <w:semiHidden/>
    <w:rsid w:val="00150163"/>
    <w:rPr>
      <w:sz w:val="16"/>
      <w:szCs w:val="16"/>
    </w:rPr>
  </w:style>
  <w:style w:type="paragraph" w:styleId="Akapitzlist">
    <w:name w:val="List Paragraph"/>
    <w:aliases w:val="Numerowanie"/>
    <w:basedOn w:val="Normalny"/>
    <w:uiPriority w:val="34"/>
    <w:qFormat/>
    <w:rsid w:val="00FE7D9A"/>
    <w:pPr>
      <w:ind w:left="720"/>
      <w:contextualSpacing/>
    </w:pPr>
  </w:style>
  <w:style w:type="paragraph" w:styleId="Poprawka">
    <w:name w:val="Revision"/>
    <w:hidden/>
    <w:uiPriority w:val="99"/>
    <w:semiHidden/>
    <w:rsid w:val="000E79BF"/>
    <w:pPr>
      <w:widowControl/>
    </w:pPr>
    <w:rPr>
      <w:color w:val="000000"/>
    </w:rPr>
  </w:style>
  <w:style w:type="paragraph" w:customStyle="1" w:styleId="ARTartustawynprozporzdzenia">
    <w:name w:val="ART(§) – art. ustawy (§ np. rozporządzenia)"/>
    <w:uiPriority w:val="11"/>
    <w:qFormat/>
    <w:rsid w:val="00F402ED"/>
    <w:pPr>
      <w:widowControl/>
      <w:suppressAutoHyphens/>
      <w:autoSpaceDE w:val="0"/>
      <w:autoSpaceDN w:val="0"/>
      <w:adjustRightInd w:val="0"/>
      <w:spacing w:before="120" w:line="360" w:lineRule="auto"/>
      <w:ind w:firstLine="510"/>
      <w:jc w:val="both"/>
    </w:pPr>
    <w:rPr>
      <w:rFonts w:ascii="Times" w:eastAsiaTheme="minorEastAsia" w:hAnsi="Times" w:cs="Arial"/>
      <w:szCs w:val="20"/>
      <w:lang w:bidi="ar-SA"/>
    </w:rPr>
  </w:style>
  <w:style w:type="character" w:customStyle="1" w:styleId="Ppogrubienie">
    <w:name w:val="_P_ – pogrubienie"/>
    <w:basedOn w:val="Domylnaczcionkaakapitu"/>
    <w:uiPriority w:val="1"/>
    <w:qFormat/>
    <w:rsid w:val="00F402ED"/>
    <w:rPr>
      <w:b/>
    </w:rPr>
  </w:style>
  <w:style w:type="paragraph" w:styleId="Tematkomentarza">
    <w:name w:val="annotation subject"/>
    <w:basedOn w:val="Tekstkomentarza"/>
    <w:next w:val="Tekstkomentarza"/>
    <w:link w:val="TematkomentarzaZnak"/>
    <w:uiPriority w:val="99"/>
    <w:semiHidden/>
    <w:unhideWhenUsed/>
    <w:rsid w:val="00F458D6"/>
    <w:rPr>
      <w:b/>
      <w:bCs/>
    </w:rPr>
  </w:style>
  <w:style w:type="character" w:customStyle="1" w:styleId="TematkomentarzaZnak">
    <w:name w:val="Temat komentarza Znak"/>
    <w:basedOn w:val="TekstkomentarzaZnak"/>
    <w:link w:val="Tematkomentarza"/>
    <w:uiPriority w:val="99"/>
    <w:semiHidden/>
    <w:rsid w:val="00F458D6"/>
    <w:rPr>
      <w:b/>
      <w:bCs/>
      <w:color w:val="000000"/>
      <w:sz w:val="20"/>
      <w:szCs w:val="20"/>
    </w:rPr>
  </w:style>
  <w:style w:type="paragraph" w:customStyle="1" w:styleId="ZCZWSPLITwPKTzmczciwsplitwpktartykuempunktem">
    <w:name w:val="Z/CZ_WSP_LIT_w_PKT – zm. części wsp. lit. w pkt artykułem (punktem)"/>
    <w:basedOn w:val="Normalny"/>
    <w:next w:val="ZARTzmartartykuempunktem"/>
    <w:uiPriority w:val="35"/>
    <w:qFormat/>
    <w:rsid w:val="00831E40"/>
    <w:pPr>
      <w:widowControl/>
      <w:spacing w:line="360" w:lineRule="auto"/>
      <w:ind w:left="1021"/>
      <w:jc w:val="both"/>
    </w:pPr>
    <w:rPr>
      <w:rFonts w:ascii="Times" w:eastAsiaTheme="minorEastAsia" w:hAnsi="Times" w:cs="Arial"/>
      <w:bCs/>
      <w:color w:val="auto"/>
      <w:lang w:bidi="ar-SA"/>
    </w:rPr>
  </w:style>
  <w:style w:type="paragraph" w:customStyle="1" w:styleId="ZLITLITzmlitliter">
    <w:name w:val="Z_LIT/LIT – zm. lit. literą"/>
    <w:basedOn w:val="LITlitera"/>
    <w:uiPriority w:val="48"/>
    <w:qFormat/>
    <w:rsid w:val="00831E40"/>
    <w:pPr>
      <w:ind w:left="1463"/>
    </w:pPr>
  </w:style>
  <w:style w:type="paragraph" w:customStyle="1" w:styleId="ZFRAGzmfragmentunpzdaniaartykuempunktem">
    <w:name w:val="Z/FRAG – zm. fragmentu (np. zdania) artykułem (punktem)"/>
    <w:basedOn w:val="ZARTzmartartykuempunktem"/>
    <w:next w:val="PKTpunkt"/>
    <w:uiPriority w:val="36"/>
    <w:qFormat/>
    <w:rsid w:val="00BD5403"/>
    <w:pPr>
      <w:ind w:firstLine="0"/>
    </w:pPr>
    <w:rPr>
      <w:rFonts w:ascii="Times New Roman" w:hAnsi="Times New Roman"/>
    </w:rPr>
  </w:style>
  <w:style w:type="character" w:customStyle="1" w:styleId="Stopka">
    <w:name w:val="Stopka_"/>
    <w:basedOn w:val="Domylnaczcionkaakapitu"/>
    <w:link w:val="Stopka1"/>
    <w:rsid w:val="00CD2C5D"/>
    <w:rPr>
      <w:rFonts w:ascii="Calibri" w:eastAsia="Calibri" w:hAnsi="Calibri" w:cs="Calibri"/>
      <w:sz w:val="20"/>
      <w:szCs w:val="20"/>
      <w:shd w:val="clear" w:color="auto" w:fill="FFFFFF"/>
    </w:rPr>
  </w:style>
  <w:style w:type="paragraph" w:customStyle="1" w:styleId="Stopka1">
    <w:name w:val="Stopka1"/>
    <w:basedOn w:val="Normalny"/>
    <w:link w:val="Stopka"/>
    <w:rsid w:val="00CD2C5D"/>
    <w:pPr>
      <w:shd w:val="clear" w:color="auto" w:fill="FFFFFF"/>
    </w:pPr>
    <w:rPr>
      <w:rFonts w:ascii="Calibri" w:eastAsia="Calibri" w:hAnsi="Calibri" w:cs="Calibri"/>
      <w:color w:val="auto"/>
      <w:sz w:val="20"/>
      <w:szCs w:val="20"/>
    </w:rPr>
  </w:style>
  <w:style w:type="paragraph" w:customStyle="1" w:styleId="ZCZWSPPKTzmczciwsppktartykuempunktem">
    <w:name w:val="Z/CZ_WSP_PKT – zm. części wsp. pkt artykułem (punktem)"/>
    <w:basedOn w:val="Normalny"/>
    <w:next w:val="Normalny"/>
    <w:uiPriority w:val="34"/>
    <w:qFormat/>
    <w:rsid w:val="00FC3274"/>
    <w:pPr>
      <w:widowControl/>
      <w:spacing w:line="360" w:lineRule="auto"/>
      <w:ind w:left="510"/>
      <w:jc w:val="both"/>
    </w:pPr>
    <w:rPr>
      <w:rFonts w:ascii="Times" w:eastAsiaTheme="minorEastAsia" w:hAnsi="Times" w:cs="Arial"/>
      <w:bCs/>
      <w:color w:val="auto"/>
      <w:szCs w:val="20"/>
      <w:lang w:bidi="ar-SA"/>
    </w:rPr>
  </w:style>
  <w:style w:type="paragraph" w:styleId="Stopka0">
    <w:name w:val="footer"/>
    <w:basedOn w:val="Normalny"/>
    <w:link w:val="StopkaZnak"/>
    <w:uiPriority w:val="99"/>
    <w:unhideWhenUsed/>
    <w:rsid w:val="007307BB"/>
    <w:pPr>
      <w:widowControl/>
      <w:tabs>
        <w:tab w:val="center" w:pos="4536"/>
        <w:tab w:val="right" w:pos="9072"/>
      </w:tabs>
    </w:pPr>
    <w:rPr>
      <w:rFonts w:asciiTheme="minorHAnsi" w:eastAsiaTheme="minorHAnsi" w:hAnsiTheme="minorHAnsi" w:cstheme="minorBidi"/>
      <w:color w:val="auto"/>
      <w:sz w:val="22"/>
      <w:szCs w:val="22"/>
      <w:lang w:eastAsia="en-US" w:bidi="ar-SA"/>
    </w:rPr>
  </w:style>
  <w:style w:type="character" w:customStyle="1" w:styleId="StopkaZnak">
    <w:name w:val="Stopka Znak"/>
    <w:basedOn w:val="Domylnaczcionkaakapitu"/>
    <w:link w:val="Stopka0"/>
    <w:uiPriority w:val="99"/>
    <w:rsid w:val="007307BB"/>
    <w:rPr>
      <w:rFonts w:asciiTheme="minorHAnsi" w:eastAsiaTheme="minorHAnsi" w:hAnsiTheme="minorHAnsi" w:cstheme="minorBidi"/>
      <w:sz w:val="22"/>
      <w:szCs w:val="22"/>
      <w:lang w:eastAsia="en-US" w:bidi="ar-SA"/>
    </w:rPr>
  </w:style>
  <w:style w:type="character" w:customStyle="1" w:styleId="Teksttreci2">
    <w:name w:val="Tekst treści (2)_"/>
    <w:basedOn w:val="Domylnaczcionkaakapitu"/>
    <w:link w:val="Teksttreci20"/>
    <w:rsid w:val="00F9313D"/>
    <w:rPr>
      <w:rFonts w:ascii="Arial" w:eastAsia="Arial" w:hAnsi="Arial" w:cs="Arial"/>
      <w:sz w:val="16"/>
      <w:szCs w:val="16"/>
      <w:shd w:val="clear" w:color="auto" w:fill="FFFFFF"/>
    </w:rPr>
  </w:style>
  <w:style w:type="paragraph" w:customStyle="1" w:styleId="Teksttreci20">
    <w:name w:val="Tekst treści (2)"/>
    <w:basedOn w:val="Normalny"/>
    <w:link w:val="Teksttreci2"/>
    <w:rsid w:val="00F9313D"/>
    <w:pPr>
      <w:shd w:val="clear" w:color="auto" w:fill="FFFFFF"/>
      <w:spacing w:after="100"/>
    </w:pPr>
    <w:rPr>
      <w:rFonts w:ascii="Arial" w:eastAsia="Arial" w:hAnsi="Arial" w:cs="Arial"/>
      <w:color w:val="auto"/>
      <w:sz w:val="16"/>
      <w:szCs w:val="16"/>
    </w:rPr>
  </w:style>
  <w:style w:type="character" w:customStyle="1" w:styleId="Nagwek2">
    <w:name w:val="Nagłówek #2_"/>
    <w:basedOn w:val="Domylnaczcionkaakapitu"/>
    <w:link w:val="Nagwek20"/>
    <w:rsid w:val="00F9313D"/>
    <w:rPr>
      <w:rFonts w:ascii="Arial" w:eastAsia="Arial" w:hAnsi="Arial" w:cs="Arial"/>
      <w:b/>
      <w:bCs/>
      <w:sz w:val="19"/>
      <w:szCs w:val="19"/>
      <w:shd w:val="clear" w:color="auto" w:fill="FFFFFF"/>
    </w:rPr>
  </w:style>
  <w:style w:type="paragraph" w:customStyle="1" w:styleId="Nagwek20">
    <w:name w:val="Nagłówek #2"/>
    <w:basedOn w:val="Normalny"/>
    <w:link w:val="Nagwek2"/>
    <w:rsid w:val="00F9313D"/>
    <w:pPr>
      <w:shd w:val="clear" w:color="auto" w:fill="FFFFFF"/>
      <w:ind w:left="4560"/>
      <w:outlineLvl w:val="1"/>
    </w:pPr>
    <w:rPr>
      <w:rFonts w:ascii="Arial" w:eastAsia="Arial" w:hAnsi="Arial" w:cs="Arial"/>
      <w:b/>
      <w:bCs/>
      <w:color w:val="auto"/>
      <w:sz w:val="19"/>
      <w:szCs w:val="19"/>
    </w:rPr>
  </w:style>
  <w:style w:type="paragraph" w:styleId="Tekstprzypisudolnego">
    <w:name w:val="footnote text"/>
    <w:basedOn w:val="Normalny"/>
    <w:link w:val="TekstprzypisudolnegoZnak"/>
    <w:uiPriority w:val="99"/>
    <w:semiHidden/>
    <w:unhideWhenUsed/>
    <w:rsid w:val="005A61A3"/>
    <w:pPr>
      <w:widowControl/>
    </w:pPr>
    <w:rPr>
      <w:rFonts w:asciiTheme="minorHAnsi" w:eastAsiaTheme="minorHAnsi" w:hAnsiTheme="minorHAnsi" w:cstheme="minorBidi"/>
      <w:color w:val="auto"/>
      <w:sz w:val="20"/>
      <w:szCs w:val="20"/>
      <w:lang w:eastAsia="en-US" w:bidi="ar-SA"/>
    </w:rPr>
  </w:style>
  <w:style w:type="character" w:customStyle="1" w:styleId="TekstprzypisudolnegoZnak">
    <w:name w:val="Tekst przypisu dolnego Znak"/>
    <w:basedOn w:val="Domylnaczcionkaakapitu"/>
    <w:link w:val="Tekstprzypisudolnego"/>
    <w:uiPriority w:val="99"/>
    <w:semiHidden/>
    <w:rsid w:val="005A61A3"/>
    <w:rPr>
      <w:rFonts w:asciiTheme="minorHAnsi" w:eastAsiaTheme="minorHAnsi" w:hAnsiTheme="minorHAnsi" w:cstheme="minorBidi"/>
      <w:sz w:val="20"/>
      <w:szCs w:val="20"/>
      <w:lang w:eastAsia="en-US" w:bidi="ar-SA"/>
    </w:rPr>
  </w:style>
  <w:style w:type="character" w:styleId="Odwoanieprzypisudolnego">
    <w:name w:val="footnote reference"/>
    <w:basedOn w:val="Domylnaczcionkaakapitu"/>
    <w:uiPriority w:val="99"/>
    <w:semiHidden/>
    <w:unhideWhenUsed/>
    <w:rsid w:val="005A61A3"/>
    <w:rPr>
      <w:vertAlign w:val="superscript"/>
    </w:rPr>
  </w:style>
  <w:style w:type="paragraph" w:customStyle="1" w:styleId="Default">
    <w:name w:val="Default"/>
    <w:basedOn w:val="Normalny"/>
    <w:uiPriority w:val="1"/>
    <w:rsid w:val="009B06B7"/>
    <w:pPr>
      <w:widowControl/>
    </w:pPr>
    <w:rPr>
      <w:rFonts w:ascii="Times New Roman" w:hAnsi="Times New Roman" w:cs="Times New Roman"/>
      <w:lang w:bidi="ar-SA"/>
    </w:rPr>
  </w:style>
  <w:style w:type="paragraph" w:styleId="Tekstprzypisukocowego">
    <w:name w:val="endnote text"/>
    <w:basedOn w:val="Normalny"/>
    <w:link w:val="TekstprzypisukocowegoZnak"/>
    <w:uiPriority w:val="99"/>
    <w:semiHidden/>
    <w:unhideWhenUsed/>
    <w:rsid w:val="00ED0223"/>
    <w:rPr>
      <w:sz w:val="20"/>
      <w:szCs w:val="20"/>
    </w:rPr>
  </w:style>
  <w:style w:type="character" w:customStyle="1" w:styleId="TekstprzypisukocowegoZnak">
    <w:name w:val="Tekst przypisu końcowego Znak"/>
    <w:basedOn w:val="Domylnaczcionkaakapitu"/>
    <w:link w:val="Tekstprzypisukocowego"/>
    <w:uiPriority w:val="99"/>
    <w:semiHidden/>
    <w:rsid w:val="00ED0223"/>
    <w:rPr>
      <w:color w:val="000000"/>
      <w:sz w:val="20"/>
      <w:szCs w:val="20"/>
    </w:rPr>
  </w:style>
  <w:style w:type="character" w:styleId="Odwoanieprzypisukocowego">
    <w:name w:val="endnote reference"/>
    <w:basedOn w:val="Domylnaczcionkaakapitu"/>
    <w:uiPriority w:val="99"/>
    <w:semiHidden/>
    <w:unhideWhenUsed/>
    <w:rsid w:val="00ED0223"/>
    <w:rPr>
      <w:vertAlign w:val="superscript"/>
    </w:rPr>
  </w:style>
  <w:style w:type="paragraph" w:styleId="Nagwek">
    <w:name w:val="header"/>
    <w:basedOn w:val="Normalny"/>
    <w:link w:val="NagwekZnak"/>
    <w:uiPriority w:val="99"/>
    <w:unhideWhenUsed/>
    <w:rsid w:val="00857BD1"/>
    <w:pPr>
      <w:tabs>
        <w:tab w:val="center" w:pos="4536"/>
        <w:tab w:val="right" w:pos="9072"/>
      </w:tabs>
    </w:pPr>
  </w:style>
  <w:style w:type="character" w:customStyle="1" w:styleId="NagwekZnak">
    <w:name w:val="Nagłówek Znak"/>
    <w:basedOn w:val="Domylnaczcionkaakapitu"/>
    <w:link w:val="Nagwek"/>
    <w:uiPriority w:val="99"/>
    <w:rsid w:val="00857BD1"/>
    <w:rPr>
      <w:color w:val="000000"/>
    </w:rPr>
  </w:style>
  <w:style w:type="character" w:styleId="Hipercze">
    <w:name w:val="Hyperlink"/>
    <w:basedOn w:val="Domylnaczcionkaakapitu"/>
    <w:uiPriority w:val="99"/>
    <w:unhideWhenUsed/>
    <w:rsid w:val="009D1BDD"/>
    <w:rPr>
      <w:color w:val="0563C1" w:themeColor="hyperlink"/>
      <w:u w:val="single"/>
    </w:rPr>
  </w:style>
  <w:style w:type="character" w:styleId="Nierozpoznanawzmianka">
    <w:name w:val="Unresolved Mention"/>
    <w:basedOn w:val="Domylnaczcionkaakapitu"/>
    <w:uiPriority w:val="99"/>
    <w:semiHidden/>
    <w:unhideWhenUsed/>
    <w:rsid w:val="009D1BDD"/>
    <w:rPr>
      <w:color w:val="605E5C"/>
      <w:shd w:val="clear" w:color="auto" w:fill="E1DFDD"/>
    </w:rPr>
  </w:style>
  <w:style w:type="table" w:styleId="Tabela-Siatka">
    <w:name w:val="Table Grid"/>
    <w:basedOn w:val="Standardowy"/>
    <w:rsid w:val="00E91C94"/>
    <w:pPr>
      <w:widowControl/>
    </w:pPr>
    <w:rPr>
      <w:rFonts w:ascii="Times New Roman" w:eastAsia="Times New Roma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205193">
      <w:bodyDiv w:val="1"/>
      <w:marLeft w:val="0"/>
      <w:marRight w:val="0"/>
      <w:marTop w:val="0"/>
      <w:marBottom w:val="0"/>
      <w:divBdr>
        <w:top w:val="none" w:sz="0" w:space="0" w:color="auto"/>
        <w:left w:val="none" w:sz="0" w:space="0" w:color="auto"/>
        <w:bottom w:val="none" w:sz="0" w:space="0" w:color="auto"/>
        <w:right w:val="none" w:sz="0" w:space="0" w:color="auto"/>
      </w:divBdr>
      <w:divsChild>
        <w:div w:id="257520636">
          <w:marLeft w:val="0"/>
          <w:marRight w:val="0"/>
          <w:marTop w:val="0"/>
          <w:marBottom w:val="0"/>
          <w:divBdr>
            <w:top w:val="none" w:sz="0" w:space="0" w:color="auto"/>
            <w:left w:val="none" w:sz="0" w:space="0" w:color="auto"/>
            <w:bottom w:val="none" w:sz="0" w:space="0" w:color="auto"/>
            <w:right w:val="none" w:sz="0" w:space="0" w:color="auto"/>
          </w:divBdr>
          <w:divsChild>
            <w:div w:id="573784382">
              <w:marLeft w:val="0"/>
              <w:marRight w:val="0"/>
              <w:marTop w:val="0"/>
              <w:marBottom w:val="0"/>
              <w:divBdr>
                <w:top w:val="none" w:sz="0" w:space="0" w:color="auto"/>
                <w:left w:val="none" w:sz="0" w:space="0" w:color="auto"/>
                <w:bottom w:val="none" w:sz="0" w:space="0" w:color="auto"/>
                <w:right w:val="none" w:sz="0" w:space="0" w:color="auto"/>
              </w:divBdr>
            </w:div>
          </w:divsChild>
        </w:div>
        <w:div w:id="727802287">
          <w:marLeft w:val="0"/>
          <w:marRight w:val="0"/>
          <w:marTop w:val="0"/>
          <w:marBottom w:val="0"/>
          <w:divBdr>
            <w:top w:val="none" w:sz="0" w:space="0" w:color="auto"/>
            <w:left w:val="none" w:sz="0" w:space="0" w:color="auto"/>
            <w:bottom w:val="none" w:sz="0" w:space="0" w:color="auto"/>
            <w:right w:val="none" w:sz="0" w:space="0" w:color="auto"/>
          </w:divBdr>
          <w:divsChild>
            <w:div w:id="731345319">
              <w:marLeft w:val="0"/>
              <w:marRight w:val="0"/>
              <w:marTop w:val="0"/>
              <w:marBottom w:val="0"/>
              <w:divBdr>
                <w:top w:val="none" w:sz="0" w:space="0" w:color="auto"/>
                <w:left w:val="none" w:sz="0" w:space="0" w:color="auto"/>
                <w:bottom w:val="none" w:sz="0" w:space="0" w:color="auto"/>
                <w:right w:val="none" w:sz="0" w:space="0" w:color="auto"/>
              </w:divBdr>
            </w:div>
          </w:divsChild>
        </w:div>
        <w:div w:id="254288762">
          <w:marLeft w:val="0"/>
          <w:marRight w:val="0"/>
          <w:marTop w:val="0"/>
          <w:marBottom w:val="0"/>
          <w:divBdr>
            <w:top w:val="none" w:sz="0" w:space="0" w:color="auto"/>
            <w:left w:val="none" w:sz="0" w:space="0" w:color="auto"/>
            <w:bottom w:val="none" w:sz="0" w:space="0" w:color="auto"/>
            <w:right w:val="none" w:sz="0" w:space="0" w:color="auto"/>
          </w:divBdr>
          <w:divsChild>
            <w:div w:id="358121031">
              <w:marLeft w:val="0"/>
              <w:marRight w:val="0"/>
              <w:marTop w:val="0"/>
              <w:marBottom w:val="0"/>
              <w:divBdr>
                <w:top w:val="none" w:sz="0" w:space="0" w:color="auto"/>
                <w:left w:val="none" w:sz="0" w:space="0" w:color="auto"/>
                <w:bottom w:val="none" w:sz="0" w:space="0" w:color="auto"/>
                <w:right w:val="none" w:sz="0" w:space="0" w:color="auto"/>
              </w:divBdr>
            </w:div>
          </w:divsChild>
        </w:div>
        <w:div w:id="849758997">
          <w:marLeft w:val="0"/>
          <w:marRight w:val="0"/>
          <w:marTop w:val="0"/>
          <w:marBottom w:val="0"/>
          <w:divBdr>
            <w:top w:val="none" w:sz="0" w:space="0" w:color="auto"/>
            <w:left w:val="none" w:sz="0" w:space="0" w:color="auto"/>
            <w:bottom w:val="none" w:sz="0" w:space="0" w:color="auto"/>
            <w:right w:val="none" w:sz="0" w:space="0" w:color="auto"/>
          </w:divBdr>
          <w:divsChild>
            <w:div w:id="11417171">
              <w:marLeft w:val="0"/>
              <w:marRight w:val="0"/>
              <w:marTop w:val="0"/>
              <w:marBottom w:val="0"/>
              <w:divBdr>
                <w:top w:val="none" w:sz="0" w:space="0" w:color="auto"/>
                <w:left w:val="none" w:sz="0" w:space="0" w:color="auto"/>
                <w:bottom w:val="none" w:sz="0" w:space="0" w:color="auto"/>
                <w:right w:val="none" w:sz="0" w:space="0" w:color="auto"/>
              </w:divBdr>
            </w:div>
          </w:divsChild>
        </w:div>
        <w:div w:id="238289544">
          <w:marLeft w:val="0"/>
          <w:marRight w:val="0"/>
          <w:marTop w:val="0"/>
          <w:marBottom w:val="0"/>
          <w:divBdr>
            <w:top w:val="none" w:sz="0" w:space="0" w:color="auto"/>
            <w:left w:val="none" w:sz="0" w:space="0" w:color="auto"/>
            <w:bottom w:val="none" w:sz="0" w:space="0" w:color="auto"/>
            <w:right w:val="none" w:sz="0" w:space="0" w:color="auto"/>
          </w:divBdr>
        </w:div>
        <w:div w:id="1240211753">
          <w:marLeft w:val="0"/>
          <w:marRight w:val="0"/>
          <w:marTop w:val="0"/>
          <w:marBottom w:val="0"/>
          <w:divBdr>
            <w:top w:val="none" w:sz="0" w:space="0" w:color="auto"/>
            <w:left w:val="none" w:sz="0" w:space="0" w:color="auto"/>
            <w:bottom w:val="none" w:sz="0" w:space="0" w:color="auto"/>
            <w:right w:val="none" w:sz="0" w:space="0" w:color="auto"/>
          </w:divBdr>
          <w:divsChild>
            <w:div w:id="1025248746">
              <w:marLeft w:val="0"/>
              <w:marRight w:val="0"/>
              <w:marTop w:val="0"/>
              <w:marBottom w:val="0"/>
              <w:divBdr>
                <w:top w:val="none" w:sz="0" w:space="0" w:color="auto"/>
                <w:left w:val="none" w:sz="0" w:space="0" w:color="auto"/>
                <w:bottom w:val="none" w:sz="0" w:space="0" w:color="auto"/>
                <w:right w:val="none" w:sz="0" w:space="0" w:color="auto"/>
              </w:divBdr>
              <w:divsChild>
                <w:div w:id="312419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769385">
      <w:bodyDiv w:val="1"/>
      <w:marLeft w:val="0"/>
      <w:marRight w:val="0"/>
      <w:marTop w:val="0"/>
      <w:marBottom w:val="0"/>
      <w:divBdr>
        <w:top w:val="none" w:sz="0" w:space="0" w:color="auto"/>
        <w:left w:val="none" w:sz="0" w:space="0" w:color="auto"/>
        <w:bottom w:val="none" w:sz="0" w:space="0" w:color="auto"/>
        <w:right w:val="none" w:sz="0" w:space="0" w:color="auto"/>
      </w:divBdr>
      <w:divsChild>
        <w:div w:id="321469957">
          <w:marLeft w:val="0"/>
          <w:marRight w:val="0"/>
          <w:marTop w:val="0"/>
          <w:marBottom w:val="0"/>
          <w:divBdr>
            <w:top w:val="none" w:sz="0" w:space="0" w:color="auto"/>
            <w:left w:val="none" w:sz="0" w:space="0" w:color="auto"/>
            <w:bottom w:val="none" w:sz="0" w:space="0" w:color="auto"/>
            <w:right w:val="none" w:sz="0" w:space="0" w:color="auto"/>
          </w:divBdr>
          <w:divsChild>
            <w:div w:id="1657683099">
              <w:marLeft w:val="0"/>
              <w:marRight w:val="0"/>
              <w:marTop w:val="0"/>
              <w:marBottom w:val="0"/>
              <w:divBdr>
                <w:top w:val="none" w:sz="0" w:space="0" w:color="auto"/>
                <w:left w:val="none" w:sz="0" w:space="0" w:color="auto"/>
                <w:bottom w:val="none" w:sz="0" w:space="0" w:color="auto"/>
                <w:right w:val="none" w:sz="0" w:space="0" w:color="auto"/>
              </w:divBdr>
            </w:div>
          </w:divsChild>
        </w:div>
        <w:div w:id="406001687">
          <w:marLeft w:val="0"/>
          <w:marRight w:val="0"/>
          <w:marTop w:val="0"/>
          <w:marBottom w:val="0"/>
          <w:divBdr>
            <w:top w:val="none" w:sz="0" w:space="0" w:color="auto"/>
            <w:left w:val="none" w:sz="0" w:space="0" w:color="auto"/>
            <w:bottom w:val="none" w:sz="0" w:space="0" w:color="auto"/>
            <w:right w:val="none" w:sz="0" w:space="0" w:color="auto"/>
          </w:divBdr>
          <w:divsChild>
            <w:div w:id="1507790536">
              <w:marLeft w:val="0"/>
              <w:marRight w:val="0"/>
              <w:marTop w:val="0"/>
              <w:marBottom w:val="0"/>
              <w:divBdr>
                <w:top w:val="none" w:sz="0" w:space="0" w:color="auto"/>
                <w:left w:val="none" w:sz="0" w:space="0" w:color="auto"/>
                <w:bottom w:val="none" w:sz="0" w:space="0" w:color="auto"/>
                <w:right w:val="none" w:sz="0" w:space="0" w:color="auto"/>
              </w:divBdr>
            </w:div>
          </w:divsChild>
        </w:div>
        <w:div w:id="1662850384">
          <w:marLeft w:val="0"/>
          <w:marRight w:val="0"/>
          <w:marTop w:val="0"/>
          <w:marBottom w:val="0"/>
          <w:divBdr>
            <w:top w:val="none" w:sz="0" w:space="0" w:color="auto"/>
            <w:left w:val="none" w:sz="0" w:space="0" w:color="auto"/>
            <w:bottom w:val="none" w:sz="0" w:space="0" w:color="auto"/>
            <w:right w:val="none" w:sz="0" w:space="0" w:color="auto"/>
          </w:divBdr>
          <w:divsChild>
            <w:div w:id="1042900668">
              <w:marLeft w:val="0"/>
              <w:marRight w:val="0"/>
              <w:marTop w:val="0"/>
              <w:marBottom w:val="0"/>
              <w:divBdr>
                <w:top w:val="none" w:sz="0" w:space="0" w:color="auto"/>
                <w:left w:val="none" w:sz="0" w:space="0" w:color="auto"/>
                <w:bottom w:val="none" w:sz="0" w:space="0" w:color="auto"/>
                <w:right w:val="none" w:sz="0" w:space="0" w:color="auto"/>
              </w:divBdr>
            </w:div>
          </w:divsChild>
        </w:div>
        <w:div w:id="1003823669">
          <w:marLeft w:val="0"/>
          <w:marRight w:val="0"/>
          <w:marTop w:val="0"/>
          <w:marBottom w:val="0"/>
          <w:divBdr>
            <w:top w:val="none" w:sz="0" w:space="0" w:color="auto"/>
            <w:left w:val="none" w:sz="0" w:space="0" w:color="auto"/>
            <w:bottom w:val="none" w:sz="0" w:space="0" w:color="auto"/>
            <w:right w:val="none" w:sz="0" w:space="0" w:color="auto"/>
          </w:divBdr>
          <w:divsChild>
            <w:div w:id="657727138">
              <w:marLeft w:val="0"/>
              <w:marRight w:val="0"/>
              <w:marTop w:val="0"/>
              <w:marBottom w:val="0"/>
              <w:divBdr>
                <w:top w:val="none" w:sz="0" w:space="0" w:color="auto"/>
                <w:left w:val="none" w:sz="0" w:space="0" w:color="auto"/>
                <w:bottom w:val="none" w:sz="0" w:space="0" w:color="auto"/>
                <w:right w:val="none" w:sz="0" w:space="0" w:color="auto"/>
              </w:divBdr>
            </w:div>
          </w:divsChild>
        </w:div>
        <w:div w:id="1506438576">
          <w:marLeft w:val="0"/>
          <w:marRight w:val="0"/>
          <w:marTop w:val="0"/>
          <w:marBottom w:val="0"/>
          <w:divBdr>
            <w:top w:val="none" w:sz="0" w:space="0" w:color="auto"/>
            <w:left w:val="none" w:sz="0" w:space="0" w:color="auto"/>
            <w:bottom w:val="none" w:sz="0" w:space="0" w:color="auto"/>
            <w:right w:val="none" w:sz="0" w:space="0" w:color="auto"/>
          </w:divBdr>
        </w:div>
        <w:div w:id="1066533416">
          <w:marLeft w:val="0"/>
          <w:marRight w:val="0"/>
          <w:marTop w:val="0"/>
          <w:marBottom w:val="0"/>
          <w:divBdr>
            <w:top w:val="none" w:sz="0" w:space="0" w:color="auto"/>
            <w:left w:val="none" w:sz="0" w:space="0" w:color="auto"/>
            <w:bottom w:val="none" w:sz="0" w:space="0" w:color="auto"/>
            <w:right w:val="none" w:sz="0" w:space="0" w:color="auto"/>
          </w:divBdr>
          <w:divsChild>
            <w:div w:id="1182015305">
              <w:marLeft w:val="0"/>
              <w:marRight w:val="0"/>
              <w:marTop w:val="0"/>
              <w:marBottom w:val="0"/>
              <w:divBdr>
                <w:top w:val="none" w:sz="0" w:space="0" w:color="auto"/>
                <w:left w:val="none" w:sz="0" w:space="0" w:color="auto"/>
                <w:bottom w:val="none" w:sz="0" w:space="0" w:color="auto"/>
                <w:right w:val="none" w:sz="0" w:space="0" w:color="auto"/>
              </w:divBdr>
              <w:divsChild>
                <w:div w:id="767115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pl/web/sprawiedliwosc/du-19-13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gov.pl/web/sprawiedliwosc/du-19-138" TargetMode="External"/><Relationship Id="rId4" Type="http://schemas.openxmlformats.org/officeDocument/2006/relationships/settings" Target="settings.xml"/><Relationship Id="rId9" Type="http://schemas.openxmlformats.org/officeDocument/2006/relationships/hyperlink" Target="https://www.gov.pl/web/sprawiedliwosc/du-19-138"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3D35FA-38F7-46E1-85DF-CD2F9ECE9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8045</Words>
  <Characters>48273</Characters>
  <Application>Microsoft Office Word</Application>
  <DocSecurity>0</DocSecurity>
  <Lines>402</Lines>
  <Paragraphs>112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Jankowski Adolf</dc:creator>
  <cp:keywords/>
  <cp:lastModifiedBy>Herman Anna</cp:lastModifiedBy>
  <cp:revision>2</cp:revision>
  <dcterms:created xsi:type="dcterms:W3CDTF">2026-05-21T08:44:00Z</dcterms:created>
  <dcterms:modified xsi:type="dcterms:W3CDTF">2026-05-21T08:44:00Z</dcterms:modified>
</cp:coreProperties>
</file>